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0"/>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0"/>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0"/>
        <w:ind w:left="2832" w:hanging="190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全身超</w:t>
      </w:r>
      <w:r>
        <w:rPr>
          <w:rFonts w:hint="eastAsia" w:ascii="宋体" w:hAnsi="宋体"/>
          <w:bCs/>
          <w:color w:val="000000"/>
          <w:sz w:val="36"/>
          <w:szCs w:val="36"/>
          <w:highlight w:val="none"/>
          <w:lang w:val="en-US" w:eastAsia="zh-CN"/>
        </w:rPr>
        <w:t xml:space="preserve">采购项目</w:t>
      </w:r>
      <w:r>
        <w:rPr>
          <w:rFonts w:ascii="宋体" w:hAnsi="宋体" w:eastAsia="宋体"/>
          <w:bCs/>
          <w:color w:val="000000"/>
          <w:sz w:val="36"/>
          <w:szCs w:val="36"/>
          <w:highlight w:val="none"/>
          <w:lang w:val="en-US" w:eastAsia="zh-CN"/>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JSZC-320400-CTZB-G2025-0313</w:t>
      </w:r>
      <w:r>
        <w:rPr>
          <w:rFonts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常州市妇幼保健院</w:t>
      </w:r>
      <w:r>
        <w:rPr>
          <w:rFonts w:ascii="宋体" w:hAnsi="宋体"/>
          <w:bCs/>
          <w:color w:val="000000"/>
          <w:sz w:val="36"/>
          <w:szCs w:val="36"/>
          <w:highlight w:val="none"/>
        </w:rPr>
      </w:r>
      <w:r/>
    </w:p>
    <w:p>
      <w:pPr>
        <w:pStyle w:val="1070"/>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0"/>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0"/>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070"/>
        <w:rPr>
          <w:rFonts w:ascii="宋体" w:hAnsi="宋体"/>
          <w:color w:val="000000"/>
          <w:highlight w:val="none"/>
        </w:rPr>
      </w:pPr>
      <w:r>
        <w:rPr>
          <w:rFonts w:ascii="宋体" w:hAnsi="宋体"/>
          <w:color w:val="000000"/>
          <w:highlight w:val="none"/>
        </w:rPr>
      </w:r>
      <w:r/>
    </w:p>
    <w:p>
      <w:pPr>
        <w:pStyle w:val="1122"/>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5"/>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5"/>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5"/>
          <w:color w:val="000000"/>
          <w:sz w:val="32"/>
          <w:szCs w:val="32"/>
          <w:highlight w:val="none"/>
        </w:rPr>
        <w:t xml:space="preserve">第三章   资</w:t>
      </w:r>
      <w:bookmarkStart w:id="1" w:name="_Hlt100754117"/>
      <w:r>
        <w:rPr>
          <w:rStyle w:val="1145"/>
          <w:color w:val="000000"/>
          <w:sz w:val="32"/>
          <w:szCs w:val="32"/>
          <w:highlight w:val="none"/>
        </w:rPr>
        <w:t xml:space="preserve">格</w:t>
      </w:r>
      <w:bookmarkEnd w:id="1"/>
      <w:r>
        <w:rPr>
          <w:rStyle w:val="1145"/>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5"/>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5"/>
          <w:color w:val="000000"/>
          <w:sz w:val="32"/>
          <w:szCs w:val="32"/>
          <w:highlight w:val="none"/>
        </w:rPr>
        <w:t xml:space="preserve">第五章   采购</w:t>
      </w:r>
      <w:bookmarkStart w:id="2" w:name="_Hlt100754102"/>
      <w:r/>
      <w:bookmarkStart w:id="3" w:name="_Hlt100754103"/>
      <w:r>
        <w:rPr>
          <w:rStyle w:val="1145"/>
          <w:color w:val="000000"/>
          <w:sz w:val="32"/>
          <w:szCs w:val="32"/>
          <w:highlight w:val="none"/>
        </w:rPr>
        <w:t xml:space="preserve">需</w:t>
      </w:r>
      <w:bookmarkEnd w:id="2"/>
      <w:r/>
      <w:bookmarkEnd w:id="3"/>
      <w:r>
        <w:rPr>
          <w:rStyle w:val="1145"/>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5"/>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5"/>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2"/>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常州市妇幼保健院</w:t>
      </w:r>
      <w:r>
        <w:rPr>
          <w:rFonts w:hint="eastAsia" w:ascii="仿宋" w:hAnsi="仿宋" w:eastAsia="仿宋"/>
          <w:color w:val="000000"/>
          <w:sz w:val="32"/>
          <w:szCs w:val="32"/>
          <w:highlight w:val="none"/>
          <w:lang w:eastAsia="zh-CN"/>
        </w:rPr>
        <w:t xml:space="preserve">全身超</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t xml:space="preserve">2025</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12</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26</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rPr>
        <w:t xml:space="preserve">14点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3"/>
        <w:jc w:val="left"/>
        <w:spacing w:before="240" w:line="360" w:lineRule="auto"/>
        <w:rPr>
          <w:rFonts w:ascii="仿宋" w:hAnsi="仿宋" w:eastAsia="仿宋"/>
          <w:color w:val="000000"/>
          <w:sz w:val="32"/>
          <w:szCs w:val="32"/>
          <w:highlight w:val="none"/>
        </w:rPr>
      </w:pPr>
      <w:r/>
      <w:bookmarkStart w:id="5" w:name="_Toc28359002"/>
      <w:r/>
      <w:bookmarkStart w:id="6" w:name="_Toc28359079"/>
      <w:r/>
      <w:bookmarkStart w:id="7" w:name="_Toc35393621"/>
      <w:r/>
      <w:bookmarkStart w:id="8" w:name="_Toc35393790"/>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JSZC-320400-CTZB-G2025-0313</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常州市妇幼保健院</w:t>
      </w:r>
      <w:r>
        <w:rPr>
          <w:rFonts w:hint="eastAsia" w:ascii="仿宋" w:hAnsi="仿宋" w:eastAsia="仿宋"/>
          <w:color w:val="000000"/>
          <w:sz w:val="32"/>
          <w:szCs w:val="32"/>
          <w:highlight w:val="none"/>
          <w:lang w:eastAsia="zh-CN"/>
        </w:rPr>
        <w:t xml:space="preserve">全身超</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80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color w:val="000000"/>
          <w:sz w:val="32"/>
          <w:szCs w:val="32"/>
          <w:highlight w:val="none"/>
          <w:lang w:val="en-US" w:eastAsia="zh-CN"/>
        </w:rPr>
        <w:t xml:space="preserve">80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1"/>
        <w:gridCol w:w="996"/>
        <w:gridCol w:w="4277"/>
      </w:tblGrid>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0"/>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0"/>
              <w:jc w:val="center"/>
              <w:rPr>
                <w:rFonts w:ascii="仿宋" w:hAnsi="仿宋" w:eastAsia="仿宋"/>
                <w:bCs/>
                <w:color w:val="000000"/>
                <w:sz w:val="32"/>
                <w:szCs w:val="32"/>
                <w:highlight w:val="none"/>
              </w:rPr>
            </w:pPr>
            <w:r>
              <w:rPr>
                <w:rFonts w:hint="eastAsia" w:ascii="仿宋" w:hAnsi="仿宋" w:eastAsia="仿宋"/>
                <w:color w:val="000000"/>
                <w:sz w:val="32"/>
                <w:szCs w:val="32"/>
                <w:highlight w:val="none"/>
                <w:lang w:eastAsia="zh-CN"/>
              </w:rPr>
              <w:t xml:space="preserve">全身超</w:t>
            </w:r>
            <w:r>
              <w:rPr>
                <w:rFonts w:ascii="仿宋" w:hAnsi="仿宋" w:eastAsia="仿宋"/>
                <w:bCs/>
                <w:color w:val="000000"/>
                <w:sz w:val="32"/>
                <w:szCs w:val="32"/>
                <w:highlight w:val="none"/>
              </w:rPr>
            </w:r>
            <w:r/>
          </w:p>
        </w:tc>
        <w:tc>
          <w:tcPr>
            <w:tcW w:w="920" w:type="dxa"/>
            <w:vAlign w:val="center"/>
            <w:textDirection w:val="lrTb"/>
            <w:noWrap w:val="false"/>
          </w:tcPr>
          <w:p>
            <w:pPr>
              <w:pStyle w:val="1070"/>
              <w:jc w:val="center"/>
              <w:rPr>
                <w:rFonts w:ascii="仿宋" w:hAnsi="仿宋" w:eastAsia="仿宋"/>
                <w:bCs/>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80</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0"/>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1套</w:t>
            </w:r>
            <w:r>
              <w:rPr>
                <w:rFonts w:ascii="仿宋" w:hAnsi="仿宋" w:eastAsia="仿宋"/>
                <w:bCs/>
                <w:color w:val="000000"/>
                <w:sz w:val="32"/>
                <w:szCs w:val="32"/>
                <w:highlight w:val="none"/>
                <w:lang w:val="en-US" w:eastAsia="zh-CN"/>
              </w:rPr>
            </w:r>
            <w:r/>
          </w:p>
        </w:tc>
        <w:tc>
          <w:tcPr>
            <w:tcW w:w="2314" w:type="dxa"/>
            <w:vAlign w:val="center"/>
            <w:textDirection w:val="lrTb"/>
            <w:noWrap w:val="false"/>
          </w:tcPr>
          <w:p>
            <w:pPr>
              <w:pStyle w:val="1070"/>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0"/>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w:t>
      </w:r>
      <w:r>
        <w:rPr>
          <w:rFonts w:hint="eastAsia" w:ascii="仿宋" w:hAnsi="仿宋" w:eastAsia="仿宋"/>
          <w:color w:val="000000"/>
          <w:sz w:val="32"/>
          <w:szCs w:val="32"/>
          <w:highlight w:val="none"/>
          <w:lang w:val="en-US" w:eastAsia="zh-CN"/>
        </w:rPr>
        <w:t xml:space="preserve">30</w:t>
      </w:r>
      <w:r>
        <w:rPr>
          <w:rFonts w:hint="eastAsia" w:ascii="仿宋" w:hAnsi="仿宋" w:eastAsia="仿宋"/>
          <w:color w:val="000000"/>
          <w:sz w:val="32"/>
          <w:szCs w:val="32"/>
          <w:highlight w:val="none"/>
        </w:rPr>
        <w:t xml:space="preserve">天内完成合同范围内所有设备的供货、安装调试。</w:t>
      </w:r>
      <w:r>
        <w:rPr>
          <w:rFonts w:ascii="仿宋" w:hAnsi="仿宋" w:eastAsia="仿宋"/>
          <w:color w:val="000000"/>
          <w:sz w:val="32"/>
          <w:szCs w:val="32"/>
          <w:highlight w:val="none"/>
          <w:u w:val="singl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10" w:name="_Toc35393791"/>
      <w:r/>
      <w:bookmarkStart w:id="11" w:name="_Toc28359080"/>
      <w:r/>
      <w:bookmarkStart w:id="12" w:name="_Toc35393622"/>
      <w:r/>
      <w:bookmarkStart w:id="13" w:name="_Toc28359003"/>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0"/>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0"/>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（1）满足以下两项中任意一项要求：</w:t>
      </w:r>
      <w:r>
        <w:rPr>
          <w:rFonts w:hint="eastAsia"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①供应商为所投产品制造商：具有有效期内的医疗器械生产许可证；</w:t>
      </w:r>
      <w:r>
        <w:rPr>
          <w:rFonts w:hint="eastAsia"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②投标人为所投产品经销商：如所投产品属第二类医疗器械管理的，具有有效期内的第二类医疗器械经营备案凭证；如所投产品属第三类医疗器械管理的，具有有效期内的医疗器械经营许可证；</w:t>
      </w:r>
      <w:r>
        <w:rPr>
          <w:rFonts w:hint="eastAsia" w:ascii="仿宋" w:hAnsi="仿宋" w:eastAsia="仿宋"/>
          <w:color w:val="000000"/>
          <w:sz w:val="32"/>
          <w:szCs w:val="32"/>
          <w:highlight w:val="non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（2）提供所投产品的有效医疗器械注册证。</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792"/>
      <w:r/>
      <w:bookmarkStart w:id="17" w:name="_Toc35393623"/>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2025</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12</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03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2025</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12</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10</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0"/>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0"/>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2"/>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0"/>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t xml:space="preserve">2025</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12</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26</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0"/>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2" w:name="_Toc28359084"/>
      <w:r/>
      <w:bookmarkStart w:id="23" w:name="_Toc28359007"/>
      <w:r/>
      <w:bookmarkStart w:id="24" w:name="_Toc35393625"/>
      <w:r/>
      <w:bookmarkStart w:id="25" w:name="_Toc3539379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2"/>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0"/>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bidi="ar"/>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0"/>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0"/>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2"/>
        <w:ind w:firstLine="643"/>
        <w:jc w:val="left"/>
        <w:spacing w:before="0" w:line="360" w:lineRule="auto"/>
        <w:rPr>
          <w:rFonts w:ascii="仿宋" w:hAnsi="仿宋" w:eastAsia="仿宋"/>
          <w:color w:val="000000"/>
          <w:sz w:val="32"/>
          <w:szCs w:val="32"/>
          <w:highlight w:val="none"/>
        </w:rPr>
      </w:pPr>
      <w:r/>
      <w:bookmarkStart w:id="28" w:name="_Toc28359008"/>
      <w:r/>
      <w:bookmarkStart w:id="29" w:name="_Toc35393627"/>
      <w:r/>
      <w:bookmarkStart w:id="30" w:name="_Toc28359085"/>
      <w:r/>
      <w:bookmarkStart w:id="31" w:name="_Toc35393796"/>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0"/>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bookmarkStart w:id="32" w:name="_Toc28359086"/>
      <w:r/>
      <w:bookmarkStart w:id="33" w:name="_Toc28359009"/>
      <w:r>
        <w:rPr>
          <w:rFonts w:hint="eastAsia" w:ascii="仿宋" w:hAnsi="仿宋" w:eastAsia="仿宋"/>
          <w:color w:val="000000"/>
          <w:sz w:val="32"/>
          <w:szCs w:val="32"/>
          <w:highlight w:val="none"/>
        </w:rPr>
        <w:t xml:space="preserve">名    称：常州市妇幼保健院</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址：常州市钟楼区丁香路16号</w:t>
      </w:r>
      <w:r>
        <w:rPr>
          <w:rFonts w:hint="eastAsia" w:ascii="仿宋" w:hAnsi="仿宋" w:eastAsia="仿宋"/>
          <w:color w:val="000000"/>
          <w:sz w:val="32"/>
          <w:szCs w:val="32"/>
          <w:highlight w:val="none"/>
        </w:rPr>
      </w:r>
      <w:r/>
    </w:p>
    <w:p>
      <w:pPr>
        <w:pStyle w:val="1070"/>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联系方式：季先生 0519-88581660</w:t>
      </w:r>
      <w:r>
        <w:rPr>
          <w:rFonts w:hint="eastAsia" w:ascii="仿宋" w:hAnsi="仿宋" w:eastAsia="仿宋"/>
          <w:color w:val="000000"/>
          <w:sz w:val="32"/>
          <w:szCs w:val="32"/>
          <w:highlight w:val="none"/>
        </w:rPr>
      </w:r>
      <w:r/>
    </w:p>
    <w:p>
      <w:pPr>
        <w:pStyle w:val="1070"/>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0"/>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0"/>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0"/>
        <w:ind w:firstLine="640"/>
        <w:spacing w:line="360" w:lineRule="auto"/>
        <w:rPr>
          <w:rFonts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彭艳、王逸菲</w:t>
      </w:r>
      <w:r>
        <w:rPr>
          <w:rFonts w:ascii="仿宋" w:hAnsi="仿宋" w:eastAsia="仿宋"/>
          <w:color w:val="000000"/>
          <w:sz w:val="32"/>
          <w:szCs w:val="32"/>
          <w:highlight w:val="none"/>
          <w:lang w:val="en-US" w:eastAsia="zh-CN"/>
        </w:rPr>
      </w:r>
      <w:r/>
    </w:p>
    <w:p>
      <w:pPr>
        <w:pStyle w:val="1070"/>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6034</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70"/>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512937850"/>
      <w:r/>
      <w:bookmarkStart w:id="37" w:name="_Toc150774783"/>
      <w:r/>
      <w:bookmarkStart w:id="38" w:name="_Toc305158854"/>
      <w:r/>
      <w:bookmarkStart w:id="39" w:name="_Toc226965856"/>
      <w:r/>
      <w:bookmarkStart w:id="40" w:name="_Toc127151777"/>
      <w:r/>
      <w:bookmarkStart w:id="41" w:name="_Toc127161488"/>
      <w:r/>
      <w:bookmarkStart w:id="42" w:name="_Toc305158928"/>
      <w:r/>
      <w:bookmarkStart w:id="43" w:name="_Toc264969275"/>
      <w:r/>
      <w:bookmarkStart w:id="44" w:name="_Toc353825548"/>
      <w:r/>
      <w:bookmarkStart w:id="45" w:name="_Toc99301420"/>
      <w:r/>
      <w:bookmarkStart w:id="46" w:name="_Toc195842950"/>
      <w:r/>
      <w:bookmarkStart w:id="47" w:name="_Toc353873938"/>
      <w:r/>
      <w:bookmarkStart w:id="48" w:name="_Toc265228423"/>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2"/>
        <w:spacing w:before="0" w:line="360" w:lineRule="auto"/>
        <w:tabs>
          <w:tab w:val="center" w:pos="4592" w:leader="none"/>
          <w:tab w:val="left" w:pos="7860" w:leader="none"/>
        </w:tabs>
        <w:rPr>
          <w:rFonts w:ascii="宋体" w:hAnsi="宋体" w:eastAsia="宋体"/>
          <w:color w:val="000000"/>
          <w:sz w:val="28"/>
          <w:highlight w:val="none"/>
        </w:rPr>
      </w:pPr>
      <w:r/>
      <w:bookmarkStart w:id="49" w:name="_Toc226309763"/>
      <w:r/>
      <w:bookmarkStart w:id="50" w:name="_Toc142311021"/>
      <w:r/>
      <w:bookmarkStart w:id="51" w:name="_Toc151193617"/>
      <w:r/>
      <w:bookmarkStart w:id="52" w:name="_Toc151193907"/>
      <w:r/>
      <w:bookmarkStart w:id="53" w:name="_Toc127151519"/>
      <w:r/>
      <w:bookmarkStart w:id="54" w:name="_Toc151193689"/>
      <w:r/>
      <w:bookmarkStart w:id="55" w:name="_Toc164351613"/>
      <w:r/>
      <w:bookmarkStart w:id="56" w:name="_Toc520356144"/>
      <w:r/>
      <w:bookmarkStart w:id="57" w:name="_Toc127161433"/>
      <w:r/>
      <w:bookmarkStart w:id="58" w:name="_Toc226965792"/>
      <w:r/>
      <w:bookmarkStart w:id="59" w:name="_Toc226965709"/>
      <w:r/>
      <w:bookmarkStart w:id="60" w:name="_Toc195842884"/>
      <w:r/>
      <w:bookmarkStart w:id="61" w:name="_Toc127151720"/>
      <w:r/>
      <w:bookmarkStart w:id="62" w:name="_Toc226337215"/>
      <w:r/>
      <w:bookmarkStart w:id="63" w:name="_Toc164229214"/>
      <w:r/>
      <w:bookmarkStart w:id="64" w:name="_Toc164608633"/>
      <w:r/>
      <w:bookmarkStart w:id="65" w:name="_Toc150480757"/>
      <w:r/>
      <w:bookmarkStart w:id="66" w:name="_Toc151193761"/>
      <w:r/>
      <w:bookmarkStart w:id="67" w:name="_Toc151193833"/>
      <w:r/>
      <w:bookmarkStart w:id="68" w:name="_Toc150774724"/>
      <w:r/>
      <w:bookmarkStart w:id="69" w:name="_Toc164229360"/>
      <w:r/>
      <w:bookmarkStart w:id="70" w:name="_Toc164608788"/>
      <w:r/>
      <w:bookmarkStart w:id="71" w:name="_Toc150509270"/>
      <w:r/>
      <w:bookmarkStart w:id="72" w:name="_Toc151190146"/>
      <w:r/>
      <w:bookmarkStart w:id="73" w:name="_Toc149720812"/>
      <w:r/>
      <w:bookmarkStart w:id="74" w:name="_Toc150774619"/>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0"/>
        <w:jc w:val="center"/>
        <w:rPr>
          <w:rFonts w:ascii="宋体" w:hAnsi="宋体"/>
          <w:b/>
          <w:color w:val="000000"/>
          <w:sz w:val="28"/>
          <w:szCs w:val="28"/>
          <w:highlight w:val="none"/>
        </w:rPr>
      </w:pPr>
      <w:r>
        <w:rPr>
          <w:rFonts w:ascii="宋体" w:hAnsi="宋体"/>
          <w:b/>
          <w:color w:val="000000"/>
          <w:sz w:val="28"/>
          <w:szCs w:val="28"/>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09"/>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09"/>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0"/>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0"/>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09"/>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w:t>
            </w:r>
            <w:r>
              <w:rPr>
                <w:rFonts w:hint="eastAsia" w:ascii="宋体" w:hAnsi="宋体" w:cs="宋体"/>
                <w:color w:val="000000"/>
                <w:sz w:val="24"/>
                <w:highlight w:val="none"/>
                <w:shd w:val="clear" w:color="auto" w:fill="auto"/>
              </w:rPr>
              <w:t xml:space="preserve">标准所属行业：</w:t>
            </w:r>
            <w:r>
              <w:rPr>
                <w:rFonts w:hint="eastAsia" w:ascii="宋体" w:hAnsi="宋体" w:cs="宋体"/>
                <w:b/>
                <w:bCs/>
                <w:color w:val="000000"/>
                <w:sz w:val="24"/>
                <w:highlight w:val="none"/>
                <w:shd w:val="clear" w:color="auto" w:fill="auto"/>
              </w:rPr>
              <w:t xml:space="preserve">工业</w:t>
            </w:r>
            <w:r>
              <w:rPr>
                <w:rFonts w:hint="eastAsia" w:ascii="宋体" w:hAnsi="宋体" w:cs="宋体"/>
                <w:color w:val="000000"/>
                <w:sz w:val="24"/>
                <w:highlight w:val="none"/>
                <w:shd w:val="clear" w:color="auto" w:fill="auto"/>
              </w:rPr>
              <w:t xml:space="preserve">。</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2025</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12</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11</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6034</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0"/>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color w:val="000000"/>
                <w:sz w:val="24"/>
                <w:highlight w:val="none"/>
                <w:lang w:bidi="ar"/>
              </w:rPr>
              <w:t xml:space="preserve">中标人须按其中标金额的0.8%计算并支付中标服务费，该费用应在领取中标通知书时支付至常州市城投建设工程招标有限公司账户。采购代理服务收费按上述计算方法不足人民币3000元的，按人民币3000元收取。</w:t>
            </w:r>
            <w:r>
              <w:rPr>
                <w:rFonts w:hint="eastAsia" w:ascii="宋体" w:hAnsi="宋体" w:cs="宋体"/>
                <w:color w:val="000000"/>
                <w:sz w:val="24"/>
                <w:highlight w:val="none"/>
              </w:rPr>
            </w:r>
            <w:r/>
          </w:p>
          <w:p>
            <w:pPr>
              <w:pStyle w:val="1070"/>
              <w:jc w:val="left"/>
              <w:rPr>
                <w:rFonts w:hint="eastAsia" w:ascii="宋体" w:hAnsi="宋体" w:cs="宋体"/>
                <w:color w:val="000000"/>
                <w:sz w:val="24"/>
                <w:highlight w:val="none"/>
              </w:rP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0"/>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09"/>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0"/>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0"/>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0"/>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0"/>
        <w:jc w:val="center"/>
        <w:spacing w:before="240" w:after="240"/>
        <w:rPr>
          <w:rFonts w:hint="eastAsia" w:ascii="宋体" w:hAnsi="宋体" w:cs="宋体"/>
          <w:b/>
          <w:color w:val="000000"/>
          <w:sz w:val="28"/>
          <w:szCs w:val="28"/>
          <w:highlight w:val="none"/>
        </w:rPr>
      </w:pPr>
      <w:r/>
      <w:bookmarkStart w:id="75" w:name="_Toc264969207"/>
      <w:r/>
      <w:bookmarkStart w:id="76" w:name="_Toc127151517"/>
      <w:r/>
      <w:bookmarkStart w:id="77" w:name="_Toc150774722"/>
      <w:r/>
      <w:bookmarkStart w:id="78" w:name="_Toc305158859"/>
      <w:r/>
      <w:bookmarkStart w:id="79" w:name="_Toc226337213"/>
      <w:r/>
      <w:bookmarkStart w:id="80" w:name="_Toc353873662"/>
      <w:r/>
      <w:bookmarkStart w:id="81" w:name="_Toc226965790"/>
      <w:r/>
      <w:bookmarkStart w:id="82" w:name="_Toc265228355"/>
      <w:r/>
      <w:bookmarkStart w:id="83" w:name="_Toc353825542"/>
      <w:r/>
      <w:bookmarkStart w:id="84" w:name="_Toc142311019"/>
      <w:r/>
      <w:bookmarkStart w:id="85" w:name="_Toc195842882"/>
      <w:r/>
      <w:bookmarkStart w:id="86" w:name="_Toc305158785"/>
      <w:r/>
      <w:bookmarkStart w:id="87" w:name="_Toc150480755"/>
      <w:r/>
      <w:bookmarkStart w:id="88" w:name="_Toc353873932"/>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2"/>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151193832"/>
      <w:r/>
      <w:bookmarkStart w:id="92" w:name="_Toc150774723"/>
      <w:r/>
      <w:bookmarkStart w:id="93" w:name="_Toc226337214"/>
      <w:r/>
      <w:bookmarkStart w:id="94" w:name="_Toc226309762"/>
      <w:r/>
      <w:bookmarkStart w:id="95" w:name="_Toc265228356"/>
      <w:r/>
      <w:bookmarkStart w:id="96" w:name="_Toc150509269"/>
      <w:r/>
      <w:bookmarkStart w:id="97" w:name="_Toc151193616"/>
      <w:r/>
      <w:bookmarkStart w:id="98" w:name="_Toc226965791"/>
      <w:r/>
      <w:bookmarkStart w:id="99" w:name="_Toc305158860"/>
      <w:r/>
      <w:bookmarkStart w:id="100" w:name="_Toc151193906"/>
      <w:r/>
      <w:bookmarkStart w:id="101" w:name="_Toc150774618"/>
      <w:r/>
      <w:bookmarkStart w:id="102" w:name="_Toc151193688"/>
      <w:r/>
      <w:bookmarkStart w:id="103" w:name="_Toc264969208"/>
      <w:r/>
      <w:bookmarkStart w:id="104" w:name="_Toc226965708"/>
      <w:r/>
      <w:bookmarkStart w:id="105" w:name="_Toc151190145"/>
      <w:r/>
      <w:bookmarkStart w:id="106" w:name="_Toc305158786"/>
      <w:r/>
      <w:bookmarkStart w:id="107" w:name="_Toc142311020"/>
      <w:r/>
      <w:bookmarkStart w:id="108" w:name="_Toc151193760"/>
      <w:r/>
      <w:bookmarkStart w:id="109" w:name="_Toc195842883"/>
      <w:r/>
      <w:bookmarkStart w:id="110" w:name="_Toc150480756"/>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861"/>
      <w:r/>
      <w:bookmarkStart w:id="112" w:name="_Toc265228357"/>
      <w:r/>
      <w:bookmarkStart w:id="113" w:name="_Toc305158787"/>
      <w:r/>
      <w:bookmarkStart w:id="114" w:name="_Toc264969209"/>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51193908"/>
      <w:r/>
      <w:bookmarkStart w:id="116" w:name="_Toc226965793"/>
      <w:r/>
      <w:bookmarkStart w:id="117" w:name="_Toc150480758"/>
      <w:r/>
      <w:bookmarkStart w:id="118" w:name="_Toc149720813"/>
      <w:r/>
      <w:bookmarkStart w:id="119" w:name="_Toc226965710"/>
      <w:r/>
      <w:bookmarkStart w:id="120" w:name="_Toc164351614"/>
      <w:r/>
      <w:bookmarkStart w:id="121" w:name="_Toc151193690"/>
      <w:r/>
      <w:bookmarkStart w:id="122" w:name="_Toc226309764"/>
      <w:r/>
      <w:bookmarkStart w:id="123" w:name="_Toc151190147"/>
      <w:r/>
      <w:bookmarkStart w:id="124" w:name="_Toc142311022"/>
      <w:r/>
      <w:bookmarkStart w:id="125" w:name="_Toc265228358"/>
      <w:r/>
      <w:bookmarkStart w:id="126" w:name="_Toc150509271"/>
      <w:r/>
      <w:bookmarkStart w:id="127" w:name="_Toc150774725"/>
      <w:r/>
      <w:bookmarkStart w:id="128" w:name="_Toc151193762"/>
      <w:r/>
      <w:bookmarkStart w:id="129" w:name="_Toc195842885"/>
      <w:r/>
      <w:bookmarkStart w:id="130" w:name="_Toc164229215"/>
      <w:r/>
      <w:bookmarkStart w:id="131" w:name="_Toc127151520"/>
      <w:r/>
      <w:bookmarkStart w:id="132" w:name="_Toc305158862"/>
      <w:r/>
      <w:bookmarkStart w:id="133" w:name="_Toc164229361"/>
      <w:r/>
      <w:bookmarkStart w:id="134" w:name="_Toc264969210"/>
      <w:r/>
      <w:bookmarkStart w:id="135" w:name="_Toc164608634"/>
      <w:r/>
      <w:bookmarkStart w:id="136" w:name="_Toc151193834"/>
      <w:r/>
      <w:bookmarkStart w:id="137" w:name="_Toc164608789"/>
      <w:r/>
      <w:bookmarkStart w:id="138" w:name="_Toc150774620"/>
      <w:r/>
      <w:bookmarkStart w:id="139" w:name="_Toc127151721"/>
      <w:r/>
      <w:bookmarkStart w:id="140" w:name="_Toc305158788"/>
      <w:r/>
      <w:bookmarkStart w:id="141" w:name="_Toc151193618"/>
      <w:r/>
      <w:bookmarkStart w:id="142" w:name="_Toc127161434"/>
      <w:r/>
      <w:bookmarkStart w:id="143" w:name="_Toc226337216"/>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65228360"/>
      <w:r/>
      <w:bookmarkStart w:id="145" w:name="_Toc150480760"/>
      <w:r/>
      <w:bookmarkStart w:id="146" w:name="_Toc305158790"/>
      <w:r/>
      <w:bookmarkStart w:id="147" w:name="_Toc151193692"/>
      <w:r/>
      <w:bookmarkStart w:id="148" w:name="_Toc195842887"/>
      <w:r/>
      <w:bookmarkStart w:id="149" w:name="_Toc151193910"/>
      <w:r/>
      <w:bookmarkStart w:id="150" w:name="_Toc226309766"/>
      <w:r/>
      <w:bookmarkStart w:id="151" w:name="_Toc151193764"/>
      <w:r/>
      <w:bookmarkStart w:id="152" w:name="_Toc150774727"/>
      <w:r/>
      <w:bookmarkStart w:id="153" w:name="_Toc127151522"/>
      <w:r/>
      <w:bookmarkStart w:id="154" w:name="_Toc142311024"/>
      <w:r/>
      <w:bookmarkStart w:id="155" w:name="_Toc150774622"/>
      <w:r/>
      <w:bookmarkStart w:id="156" w:name="_Toc151190149"/>
      <w:r/>
      <w:bookmarkStart w:id="157" w:name="_Toc226965795"/>
      <w:r/>
      <w:bookmarkStart w:id="158" w:name="_Toc226337218"/>
      <w:r/>
      <w:bookmarkStart w:id="159" w:name="_Toc151193620"/>
      <w:r/>
      <w:bookmarkStart w:id="160" w:name="_Toc520356146"/>
      <w:r/>
      <w:bookmarkStart w:id="161" w:name="_Toc150509273"/>
      <w:r/>
      <w:bookmarkStart w:id="162" w:name="_Toc264969212"/>
      <w:r/>
      <w:bookmarkStart w:id="163" w:name="_Toc305158864"/>
      <w:r/>
      <w:bookmarkStart w:id="164" w:name="_Toc226965712"/>
      <w:r/>
      <w:bookmarkStart w:id="165" w:name="_Toc151193836"/>
      <w:r>
        <w:rPr>
          <w:rFonts w:hint="eastAsia" w:ascii="宋体" w:hAnsi="宋体" w:cs="宋体"/>
          <w:color w:val="000000"/>
          <w:sz w:val="28"/>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0"/>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0"/>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0"/>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0"/>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1193765"/>
      <w:r/>
      <w:bookmarkStart w:id="168" w:name="_Toc164608637"/>
      <w:r/>
      <w:bookmarkStart w:id="169" w:name="_Toc226965713"/>
      <w:r/>
      <w:bookmarkStart w:id="170" w:name="_Toc164608792"/>
      <w:r/>
      <w:bookmarkStart w:id="171" w:name="_Toc164229218"/>
      <w:r/>
      <w:bookmarkStart w:id="172" w:name="_Toc226965796"/>
      <w:r/>
      <w:bookmarkStart w:id="173" w:name="_Toc305158791"/>
      <w:r/>
      <w:bookmarkStart w:id="174" w:name="_Toc127151724"/>
      <w:r/>
      <w:bookmarkStart w:id="175" w:name="_Toc142311025"/>
      <w:r/>
      <w:bookmarkStart w:id="176" w:name="_Toc264969213"/>
      <w:r/>
      <w:bookmarkStart w:id="177" w:name="_Toc520356147"/>
      <w:r/>
      <w:bookmarkStart w:id="178" w:name="_Toc150774623"/>
      <w:r/>
      <w:bookmarkStart w:id="179" w:name="_Toc151193693"/>
      <w:r/>
      <w:bookmarkStart w:id="180" w:name="_Toc164229364"/>
      <w:r/>
      <w:bookmarkStart w:id="181" w:name="_Toc226309767"/>
      <w:r/>
      <w:bookmarkStart w:id="182" w:name="_Toc226337219"/>
      <w:r/>
      <w:bookmarkStart w:id="183" w:name="_Toc151193911"/>
      <w:r/>
      <w:bookmarkStart w:id="184" w:name="_Toc305158865"/>
      <w:r/>
      <w:bookmarkStart w:id="185" w:name="_Toc150509274"/>
      <w:r/>
      <w:bookmarkStart w:id="186" w:name="_Toc151193837"/>
      <w:r/>
      <w:bookmarkStart w:id="187" w:name="_Toc151190150"/>
      <w:r/>
      <w:bookmarkStart w:id="188" w:name="_Toc164351617"/>
      <w:r/>
      <w:bookmarkStart w:id="189" w:name="_Toc151193621"/>
      <w:r/>
      <w:bookmarkStart w:id="190" w:name="_Toc149720816"/>
      <w:r/>
      <w:bookmarkStart w:id="191" w:name="_Toc150480761"/>
      <w:r/>
      <w:bookmarkStart w:id="192" w:name="_Toc150774728"/>
      <w:r/>
      <w:bookmarkStart w:id="193" w:name="_Toc265228361"/>
      <w:r/>
      <w:bookmarkStart w:id="194" w:name="_Toc127161437"/>
      <w:r/>
      <w:bookmarkStart w:id="195" w:name="_Toc127151523"/>
      <w:r/>
      <w:bookmarkStart w:id="196" w:name="_Toc195842888"/>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197" w:name="_Toc151190153"/>
      <w:r/>
      <w:bookmarkStart w:id="198" w:name="_Toc226965799"/>
      <w:r/>
      <w:bookmarkStart w:id="199" w:name="_Toc142311028"/>
      <w:r/>
      <w:bookmarkStart w:id="200" w:name="_Toc305158794"/>
      <w:r/>
      <w:bookmarkStart w:id="201" w:name="_Toc127151526"/>
      <w:r/>
      <w:bookmarkStart w:id="202" w:name="_Toc151193914"/>
      <w:r/>
      <w:bookmarkStart w:id="203" w:name="_Toc150774731"/>
      <w:r/>
      <w:bookmarkStart w:id="204" w:name="_Toc226337222"/>
      <w:r/>
      <w:bookmarkStart w:id="205" w:name="_Toc305158868"/>
      <w:r/>
      <w:bookmarkStart w:id="206" w:name="_Toc520356150"/>
      <w:r/>
      <w:bookmarkStart w:id="207" w:name="_Toc265228364"/>
      <w:r/>
      <w:bookmarkStart w:id="208" w:name="_Toc226965716"/>
      <w:r/>
      <w:bookmarkStart w:id="209" w:name="_Toc150774626"/>
      <w:r/>
      <w:bookmarkStart w:id="210" w:name="_Toc516367020"/>
      <w:r/>
      <w:bookmarkStart w:id="211" w:name="_Toc151193696"/>
      <w:r/>
      <w:bookmarkStart w:id="212" w:name="_Toc226309770"/>
      <w:r/>
      <w:bookmarkStart w:id="213" w:name="_Toc150480764"/>
      <w:r/>
      <w:bookmarkStart w:id="214" w:name="_Toc195842891"/>
      <w:r/>
      <w:bookmarkStart w:id="215" w:name="_Toc150509277"/>
      <w:r/>
      <w:bookmarkStart w:id="216" w:name="_Toc264969216"/>
      <w:r/>
      <w:bookmarkStart w:id="217" w:name="_Toc151193624"/>
      <w:r/>
      <w:bookmarkStart w:id="218" w:name="_Toc151193840"/>
      <w:r/>
      <w:bookmarkStart w:id="219" w:name="_Toc151193768"/>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305158795"/>
      <w:r/>
      <w:bookmarkStart w:id="221" w:name="_Toc226309771"/>
      <w:r/>
      <w:bookmarkStart w:id="222" w:name="_Toc264969217"/>
      <w:r/>
      <w:bookmarkStart w:id="223" w:name="_Toc142311029"/>
      <w:r/>
      <w:bookmarkStart w:id="224" w:name="_Toc226965717"/>
      <w:r/>
      <w:bookmarkStart w:id="225" w:name="_Toc195842892"/>
      <w:r/>
      <w:bookmarkStart w:id="226" w:name="_Toc164608641"/>
      <w:r/>
      <w:bookmarkStart w:id="227" w:name="_Toc164608796"/>
      <w:r/>
      <w:bookmarkStart w:id="228" w:name="_Toc305158869"/>
      <w:r/>
      <w:bookmarkStart w:id="229" w:name="_Toc151193697"/>
      <w:r/>
      <w:bookmarkStart w:id="230" w:name="_Toc226965800"/>
      <w:r/>
      <w:bookmarkStart w:id="231" w:name="_Toc151193625"/>
      <w:r/>
      <w:bookmarkStart w:id="232" w:name="_Toc127151527"/>
      <w:r/>
      <w:bookmarkStart w:id="233" w:name="_Toc164229368"/>
      <w:r/>
      <w:bookmarkStart w:id="234" w:name="_Toc164351621"/>
      <w:r/>
      <w:bookmarkStart w:id="235" w:name="_Toc149720820"/>
      <w:r/>
      <w:bookmarkStart w:id="236" w:name="_Toc151190154"/>
      <w:r/>
      <w:bookmarkStart w:id="237" w:name="_Toc127151728"/>
      <w:r/>
      <w:bookmarkStart w:id="238" w:name="_Toc265228365"/>
      <w:r/>
      <w:bookmarkStart w:id="239" w:name="_Toc226337223"/>
      <w:r/>
      <w:bookmarkStart w:id="240" w:name="_Toc151193841"/>
      <w:r/>
      <w:bookmarkStart w:id="241" w:name="_Toc150774627"/>
      <w:r/>
      <w:bookmarkStart w:id="242" w:name="_Toc150480765"/>
      <w:r/>
      <w:bookmarkStart w:id="243" w:name="_Toc151193769"/>
      <w:r/>
      <w:bookmarkStart w:id="244" w:name="_Toc520356151"/>
      <w:r/>
      <w:bookmarkStart w:id="245" w:name="_Toc127161441"/>
      <w:r/>
      <w:bookmarkStart w:id="246" w:name="_Toc151193915"/>
      <w:r/>
      <w:bookmarkStart w:id="247" w:name="_Toc516367021"/>
      <w:r/>
      <w:bookmarkStart w:id="248" w:name="_Toc164229222"/>
      <w:r/>
      <w:bookmarkStart w:id="249" w:name="_Toc150509278"/>
      <w:r/>
      <w:bookmarkStart w:id="250" w:name="_Toc150774732"/>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27161442"/>
      <w:r/>
      <w:bookmarkStart w:id="252" w:name="_Toc151193626"/>
      <w:r/>
      <w:bookmarkStart w:id="253" w:name="_Toc195842893"/>
      <w:r/>
      <w:bookmarkStart w:id="254" w:name="_Toc150774628"/>
      <w:r/>
      <w:bookmarkStart w:id="255" w:name="_Toc520356152"/>
      <w:r/>
      <w:bookmarkStart w:id="256" w:name="_Toc164608642"/>
      <w:r/>
      <w:bookmarkStart w:id="257" w:name="_Toc305158796"/>
      <w:r/>
      <w:bookmarkStart w:id="258" w:name="_Toc516367022"/>
      <w:r/>
      <w:bookmarkStart w:id="259" w:name="_Ref467306676"/>
      <w:r/>
      <w:bookmarkStart w:id="260" w:name="_Ref467306195"/>
      <w:r/>
      <w:bookmarkStart w:id="261" w:name="_Toc150774733"/>
      <w:r/>
      <w:bookmarkStart w:id="262" w:name="_Toc150480766"/>
      <w:r/>
      <w:bookmarkStart w:id="263" w:name="_Toc127151729"/>
      <w:r/>
      <w:bookmarkStart w:id="264" w:name="_Toc142311030"/>
      <w:r/>
      <w:bookmarkStart w:id="265" w:name="_Toc226965801"/>
      <w:r/>
      <w:bookmarkStart w:id="266" w:name="_Toc151193770"/>
      <w:r/>
      <w:bookmarkStart w:id="267" w:name="_Toc164229223"/>
      <w:r/>
      <w:bookmarkStart w:id="268" w:name="_Toc264969218"/>
      <w:r/>
      <w:bookmarkStart w:id="269" w:name="_Toc151190155"/>
      <w:r/>
      <w:bookmarkStart w:id="270" w:name="_Toc164351622"/>
      <w:r/>
      <w:bookmarkStart w:id="271" w:name="_Toc127151528"/>
      <w:r/>
      <w:bookmarkStart w:id="272" w:name="_Toc305158870"/>
      <w:r/>
      <w:bookmarkStart w:id="273" w:name="_Toc226309772"/>
      <w:r/>
      <w:bookmarkStart w:id="274" w:name="_Toc151193916"/>
      <w:r/>
      <w:bookmarkStart w:id="275" w:name="_Toc164608797"/>
      <w:r/>
      <w:bookmarkStart w:id="276" w:name="_Toc151193842"/>
      <w:r/>
      <w:bookmarkStart w:id="277" w:name="_Toc226965718"/>
      <w:r/>
      <w:bookmarkStart w:id="278" w:name="_Toc164229369"/>
      <w:r/>
      <w:bookmarkStart w:id="279" w:name="_Toc149720821"/>
      <w:r/>
      <w:bookmarkStart w:id="280" w:name="_Toc226337224"/>
      <w:r/>
      <w:bookmarkStart w:id="281" w:name="_Toc150509279"/>
      <w:r/>
      <w:bookmarkStart w:id="282" w:name="_Toc151193698"/>
      <w:r/>
      <w:bookmarkStart w:id="283" w:name="_Toc265228366"/>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0509281"/>
      <w:r/>
      <w:bookmarkStart w:id="286" w:name="_Toc164351624"/>
      <w:r/>
      <w:bookmarkStart w:id="287" w:name="_Toc151193628"/>
      <w:r/>
      <w:bookmarkStart w:id="288" w:name="_Toc164608644"/>
      <w:r/>
      <w:bookmarkStart w:id="289" w:name="_Toc151193772"/>
      <w:r/>
      <w:bookmarkStart w:id="290" w:name="_Toc164229225"/>
      <w:r/>
      <w:bookmarkStart w:id="291" w:name="_Toc164229371"/>
      <w:r/>
      <w:bookmarkStart w:id="292" w:name="_Toc149720823"/>
      <w:r/>
      <w:bookmarkStart w:id="293" w:name="_Toc142311032"/>
      <w:r/>
      <w:bookmarkStart w:id="294" w:name="_Toc127151530"/>
      <w:r/>
      <w:bookmarkStart w:id="295" w:name="_Toc150774735"/>
      <w:r/>
      <w:bookmarkStart w:id="296" w:name="_Toc520356155"/>
      <w:r/>
      <w:bookmarkStart w:id="297" w:name="_Toc164608799"/>
      <w:r/>
      <w:bookmarkStart w:id="298" w:name="_Toc195842895"/>
      <w:r/>
      <w:bookmarkStart w:id="299" w:name="_Toc127161444"/>
      <w:r/>
      <w:bookmarkStart w:id="300" w:name="_Toc151193844"/>
      <w:r/>
      <w:bookmarkStart w:id="301" w:name="_Toc151190157"/>
      <w:r/>
      <w:bookmarkStart w:id="302" w:name="_Toc127151731"/>
      <w:r/>
      <w:bookmarkStart w:id="303" w:name="_Toc150774630"/>
      <w:r/>
      <w:bookmarkStart w:id="304" w:name="_Toc150480768"/>
      <w:r/>
      <w:bookmarkStart w:id="305" w:name="_Toc151193700"/>
      <w:r/>
      <w:bookmarkStart w:id="306" w:name="_Toc151193918"/>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151193919"/>
      <w:r/>
      <w:bookmarkStart w:id="308" w:name="_Toc151193773"/>
      <w:r/>
      <w:bookmarkStart w:id="309" w:name="_Toc264969221"/>
      <w:r/>
      <w:bookmarkStart w:id="310" w:name="_Toc226337227"/>
      <w:r/>
      <w:bookmarkStart w:id="311" w:name="_Toc226965804"/>
      <w:r/>
      <w:bookmarkStart w:id="312" w:name="_Toc520356156"/>
      <w:r/>
      <w:bookmarkStart w:id="313" w:name="_Toc305158873"/>
      <w:r/>
      <w:bookmarkStart w:id="314" w:name="_Toc150480769"/>
      <w:r/>
      <w:bookmarkStart w:id="315" w:name="_Toc142311033"/>
      <w:r/>
      <w:bookmarkStart w:id="316" w:name="_Toc151193629"/>
      <w:r/>
      <w:bookmarkStart w:id="317" w:name="_Toc226309775"/>
      <w:r/>
      <w:bookmarkStart w:id="318" w:name="_Toc150774736"/>
      <w:r/>
      <w:bookmarkStart w:id="319" w:name="_Toc164229226"/>
      <w:r/>
      <w:bookmarkStart w:id="320" w:name="_Toc226965721"/>
      <w:r/>
      <w:bookmarkStart w:id="321" w:name="_Toc127151732"/>
      <w:r/>
      <w:bookmarkStart w:id="322" w:name="_Toc164351625"/>
      <w:r/>
      <w:bookmarkStart w:id="323" w:name="_Toc151193845"/>
      <w:r/>
      <w:bookmarkStart w:id="324" w:name="_Ref467306513"/>
      <w:r/>
      <w:bookmarkStart w:id="325" w:name="_Toc150774631"/>
      <w:r/>
      <w:bookmarkStart w:id="326" w:name="_Toc195842896"/>
      <w:r/>
      <w:bookmarkStart w:id="327" w:name="_Toc127161445"/>
      <w:r/>
      <w:bookmarkStart w:id="328" w:name="_Toc151193701"/>
      <w:r/>
      <w:bookmarkStart w:id="329" w:name="_Toc164608645"/>
      <w:r/>
      <w:bookmarkStart w:id="330" w:name="_Toc149720824"/>
      <w:r/>
      <w:bookmarkStart w:id="331" w:name="_Toc305158799"/>
      <w:r/>
      <w:bookmarkStart w:id="332" w:name="_Toc164229372"/>
      <w:r/>
      <w:bookmarkStart w:id="333" w:name="_Toc127151531"/>
      <w:r/>
      <w:bookmarkStart w:id="334" w:name="_Toc151190158"/>
      <w:r/>
      <w:bookmarkStart w:id="335" w:name="_Toc150509282"/>
      <w:r/>
      <w:bookmarkStart w:id="336" w:name="_Toc164608800"/>
      <w:r/>
      <w:bookmarkStart w:id="337" w:name="_Toc265228369"/>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0"/>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50774632"/>
      <w:r/>
      <w:bookmarkStart w:id="339" w:name="_Toc265228370"/>
      <w:r/>
      <w:bookmarkStart w:id="340" w:name="_Toc164229227"/>
      <w:r/>
      <w:bookmarkStart w:id="341" w:name="_Toc149720825"/>
      <w:r/>
      <w:bookmarkStart w:id="342" w:name="_Toc195842897"/>
      <w:r/>
      <w:bookmarkStart w:id="343" w:name="_Toc164229373"/>
      <w:r/>
      <w:bookmarkStart w:id="344" w:name="_Toc164608801"/>
      <w:r/>
      <w:bookmarkStart w:id="345" w:name="_Toc226337228"/>
      <w:r/>
      <w:bookmarkStart w:id="346" w:name="_Toc520356157"/>
      <w:r/>
      <w:bookmarkStart w:id="347" w:name="_Toc127161446"/>
      <w:r/>
      <w:bookmarkStart w:id="348" w:name="_Toc142311034"/>
      <w:r/>
      <w:bookmarkStart w:id="349" w:name="_Toc151193920"/>
      <w:r/>
      <w:bookmarkStart w:id="350" w:name="_Toc127151532"/>
      <w:r/>
      <w:bookmarkStart w:id="351" w:name="_Toc151193846"/>
      <w:r/>
      <w:bookmarkStart w:id="352" w:name="_Toc151190159"/>
      <w:r/>
      <w:bookmarkStart w:id="353" w:name="_Toc150774737"/>
      <w:r/>
      <w:bookmarkStart w:id="354" w:name="_Toc150480770"/>
      <w:r/>
      <w:bookmarkStart w:id="355" w:name="_Toc264969222"/>
      <w:r/>
      <w:bookmarkStart w:id="356" w:name="_Toc305158874"/>
      <w:r/>
      <w:bookmarkStart w:id="357" w:name="_Toc151193630"/>
      <w:r/>
      <w:bookmarkStart w:id="358" w:name="_Toc151193774"/>
      <w:r/>
      <w:bookmarkStart w:id="359" w:name="_Toc305158800"/>
      <w:r/>
      <w:bookmarkStart w:id="360" w:name="_Toc164351626"/>
      <w:r/>
      <w:bookmarkStart w:id="361" w:name="_Toc226965805"/>
      <w:r/>
      <w:bookmarkStart w:id="362" w:name="_Toc164608646"/>
      <w:r/>
      <w:bookmarkStart w:id="363" w:name="_Toc226309776"/>
      <w:r/>
      <w:bookmarkStart w:id="364" w:name="_Toc151193702"/>
      <w:r/>
      <w:bookmarkStart w:id="365" w:name="_Toc150509283"/>
      <w:r/>
      <w:bookmarkStart w:id="366" w:name="_Toc226965722"/>
      <w:r/>
      <w:bookmarkStart w:id="367" w:name="_Toc127151733"/>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520356158"/>
      <w:r/>
      <w:bookmarkStart w:id="369" w:name="_Toc305158801"/>
      <w:r/>
      <w:bookmarkStart w:id="370" w:name="_Toc127151533"/>
      <w:r/>
      <w:bookmarkStart w:id="371" w:name="_Toc151190160"/>
      <w:r/>
      <w:bookmarkStart w:id="372" w:name="_Toc226309777"/>
      <w:r/>
      <w:bookmarkStart w:id="373" w:name="_Toc149720826"/>
      <w:r/>
      <w:bookmarkStart w:id="374" w:name="_Toc150774633"/>
      <w:r/>
      <w:bookmarkStart w:id="375" w:name="_Toc151193847"/>
      <w:r/>
      <w:bookmarkStart w:id="376" w:name="_Toc226965723"/>
      <w:r/>
      <w:bookmarkStart w:id="377" w:name="_Toc264969223"/>
      <w:r/>
      <w:bookmarkStart w:id="378" w:name="_Toc164351627"/>
      <w:r/>
      <w:bookmarkStart w:id="379" w:name="_Toc150480771"/>
      <w:r/>
      <w:bookmarkStart w:id="380" w:name="_Toc127151734"/>
      <w:r/>
      <w:bookmarkStart w:id="381" w:name="_Toc150774738"/>
      <w:r/>
      <w:bookmarkStart w:id="382" w:name="_Toc151193775"/>
      <w:r/>
      <w:bookmarkStart w:id="383" w:name="_Toc195842898"/>
      <w:r/>
      <w:bookmarkStart w:id="384" w:name="_Toc164229228"/>
      <w:r/>
      <w:bookmarkStart w:id="385" w:name="_Toc151193921"/>
      <w:r/>
      <w:bookmarkStart w:id="386" w:name="_Toc151193631"/>
      <w:r/>
      <w:bookmarkStart w:id="387" w:name="_Toc142311035"/>
      <w:r/>
      <w:bookmarkStart w:id="388" w:name="_Toc226337229"/>
      <w:r/>
      <w:bookmarkStart w:id="389" w:name="_Toc164229374"/>
      <w:r/>
      <w:bookmarkStart w:id="390" w:name="_Toc226965806"/>
      <w:r/>
      <w:bookmarkStart w:id="391" w:name="_Toc151193703"/>
      <w:r/>
      <w:bookmarkStart w:id="392" w:name="_Toc150509284"/>
      <w:r/>
      <w:bookmarkStart w:id="393" w:name="_Toc164608802"/>
      <w:r/>
      <w:bookmarkStart w:id="394" w:name="_Toc127161447"/>
      <w:r/>
      <w:bookmarkStart w:id="395" w:name="_Toc305158875"/>
      <w:r/>
      <w:bookmarkStart w:id="396" w:name="_Toc164608647"/>
      <w:r/>
      <w:bookmarkStart w:id="397" w:name="_Toc265228371"/>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27151534"/>
      <w:r/>
      <w:bookmarkStart w:id="399" w:name="_Toc151193632"/>
      <w:r/>
      <w:bookmarkStart w:id="400" w:name="_Toc151193922"/>
      <w:r/>
      <w:bookmarkStart w:id="401" w:name="_Toc150774634"/>
      <w:r/>
      <w:bookmarkStart w:id="402" w:name="_Toc150480772"/>
      <w:r/>
      <w:bookmarkStart w:id="403" w:name="_Toc151193776"/>
      <w:r/>
      <w:bookmarkStart w:id="404" w:name="_Toc226965807"/>
      <w:r/>
      <w:bookmarkStart w:id="405" w:name="_Toc226309778"/>
      <w:r/>
      <w:bookmarkStart w:id="406" w:name="_Toc305158876"/>
      <w:r/>
      <w:bookmarkStart w:id="407" w:name="_Toc151193848"/>
      <w:r/>
      <w:bookmarkStart w:id="408" w:name="_Toc142311036"/>
      <w:r/>
      <w:bookmarkStart w:id="409" w:name="_Toc520356159"/>
      <w:r/>
      <w:bookmarkStart w:id="410" w:name="_Toc264969224"/>
      <w:r/>
      <w:bookmarkStart w:id="411" w:name="_Toc195842899"/>
      <w:r/>
      <w:bookmarkStart w:id="412" w:name="_Toc226337230"/>
      <w:r/>
      <w:bookmarkStart w:id="413" w:name="_Toc226965724"/>
      <w:r/>
      <w:bookmarkStart w:id="414" w:name="_Toc265228372"/>
      <w:r/>
      <w:bookmarkStart w:id="415" w:name="_Toc150774739"/>
      <w:r/>
      <w:bookmarkStart w:id="416" w:name="_Toc151190161"/>
      <w:r/>
      <w:bookmarkStart w:id="417" w:name="_Toc150509285"/>
      <w:r/>
      <w:bookmarkStart w:id="418" w:name="_Toc305158802"/>
      <w:r/>
      <w:bookmarkStart w:id="419" w:name="_Toc151193704"/>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0"/>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2"/>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27161449"/>
      <w:r/>
      <w:bookmarkStart w:id="421" w:name="_Toc265228373"/>
      <w:r/>
      <w:bookmarkStart w:id="422" w:name="_Toc150480773"/>
      <w:r/>
      <w:bookmarkStart w:id="423" w:name="_Toc149720828"/>
      <w:r/>
      <w:bookmarkStart w:id="424" w:name="_Toc164608649"/>
      <w:r/>
      <w:bookmarkStart w:id="425" w:name="_Toc164608804"/>
      <w:r/>
      <w:bookmarkStart w:id="426" w:name="_Toc226965725"/>
      <w:r/>
      <w:bookmarkStart w:id="427" w:name="_Toc305158877"/>
      <w:r/>
      <w:bookmarkStart w:id="428" w:name="_Toc127151736"/>
      <w:r/>
      <w:bookmarkStart w:id="429" w:name="_Toc305158803"/>
      <w:r/>
      <w:bookmarkStart w:id="430" w:name="_Toc150509286"/>
      <w:r/>
      <w:bookmarkStart w:id="431" w:name="_Toc151193705"/>
      <w:r/>
      <w:bookmarkStart w:id="432" w:name="_Toc226337231"/>
      <w:r/>
      <w:bookmarkStart w:id="433" w:name="_Toc264969225"/>
      <w:r/>
      <w:bookmarkStart w:id="434" w:name="_Toc151193633"/>
      <w:r/>
      <w:bookmarkStart w:id="435" w:name="_Toc151193923"/>
      <w:r/>
      <w:bookmarkStart w:id="436" w:name="_Toc164351629"/>
      <w:r/>
      <w:bookmarkStart w:id="437" w:name="_Toc150774635"/>
      <w:r/>
      <w:bookmarkStart w:id="438" w:name="_Toc226965808"/>
      <w:r/>
      <w:bookmarkStart w:id="439" w:name="_Toc164229376"/>
      <w:r/>
      <w:bookmarkStart w:id="440" w:name="_Toc195842900"/>
      <w:r/>
      <w:bookmarkStart w:id="441" w:name="_Toc127151535"/>
      <w:r/>
      <w:bookmarkStart w:id="442" w:name="_Toc164229230"/>
      <w:r/>
      <w:bookmarkStart w:id="443" w:name="_Toc151190162"/>
      <w:r/>
      <w:bookmarkStart w:id="444" w:name="_Toc151193777"/>
      <w:r/>
      <w:bookmarkStart w:id="445" w:name="_Toc226309779"/>
      <w:r/>
      <w:bookmarkStart w:id="446" w:name="_Toc151193849"/>
      <w:r/>
      <w:bookmarkStart w:id="447" w:name="_Toc142311037"/>
      <w:r/>
      <w:bookmarkStart w:id="448" w:name="_Toc150774740"/>
      <w:r/>
      <w:bookmarkStart w:id="449" w:name="_Toc520356160"/>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50774741"/>
      <w:r/>
      <w:bookmarkStart w:id="451" w:name="_Toc151193850"/>
      <w:r/>
      <w:bookmarkStart w:id="452" w:name="_Toc164608805"/>
      <w:r/>
      <w:bookmarkStart w:id="453" w:name="_Toc226309780"/>
      <w:r/>
      <w:bookmarkStart w:id="454" w:name="_Toc151190163"/>
      <w:r/>
      <w:bookmarkStart w:id="455" w:name="_Toc151193634"/>
      <w:r/>
      <w:bookmarkStart w:id="456" w:name="_Toc226337232"/>
      <w:r/>
      <w:bookmarkStart w:id="457" w:name="_Toc265228374"/>
      <w:r/>
      <w:bookmarkStart w:id="458" w:name="_Toc520356161"/>
      <w:r/>
      <w:bookmarkStart w:id="459" w:name="_Toc151193924"/>
      <w:r/>
      <w:bookmarkStart w:id="460" w:name="_Toc127151536"/>
      <w:r/>
      <w:bookmarkStart w:id="461" w:name="_Toc305158878"/>
      <w:r/>
      <w:bookmarkStart w:id="462" w:name="_Toc164229231"/>
      <w:r/>
      <w:bookmarkStart w:id="463" w:name="_Toc127161450"/>
      <w:r/>
      <w:bookmarkStart w:id="464" w:name="_Toc151193778"/>
      <w:r/>
      <w:bookmarkStart w:id="465" w:name="_Toc164608650"/>
      <w:r/>
      <w:bookmarkStart w:id="466" w:name="_Toc127151737"/>
      <w:r/>
      <w:bookmarkStart w:id="467" w:name="_Toc195842901"/>
      <w:r/>
      <w:bookmarkStart w:id="468" w:name="_Toc226965809"/>
      <w:r/>
      <w:bookmarkStart w:id="469" w:name="_Toc150480774"/>
      <w:r/>
      <w:bookmarkStart w:id="470" w:name="_Toc150774636"/>
      <w:r/>
      <w:bookmarkStart w:id="471" w:name="_Toc151193706"/>
      <w:r/>
      <w:bookmarkStart w:id="472" w:name="_Toc226965726"/>
      <w:r/>
      <w:bookmarkStart w:id="473" w:name="_Toc264969226"/>
      <w:r/>
      <w:bookmarkStart w:id="474" w:name="_Toc142311038"/>
      <w:r/>
      <w:bookmarkStart w:id="475" w:name="_Toc164351630"/>
      <w:r/>
      <w:bookmarkStart w:id="476" w:name="_Toc150509287"/>
      <w:r/>
      <w:bookmarkStart w:id="477" w:name="_Toc149720829"/>
      <w:r/>
      <w:bookmarkStart w:id="478" w:name="_Toc164229377"/>
      <w:r/>
      <w:bookmarkStart w:id="479" w:name="_Toc305158804"/>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305158879"/>
      <w:r/>
      <w:bookmarkStart w:id="481" w:name="_Toc164608651"/>
      <w:r/>
      <w:bookmarkStart w:id="482" w:name="_Toc151193851"/>
      <w:r/>
      <w:bookmarkStart w:id="483" w:name="_Toc195842902"/>
      <w:r/>
      <w:bookmarkStart w:id="484" w:name="_Toc150774637"/>
      <w:r/>
      <w:bookmarkStart w:id="485" w:name="_Toc151190164"/>
      <w:r/>
      <w:bookmarkStart w:id="486" w:name="_Toc226965727"/>
      <w:r/>
      <w:bookmarkStart w:id="487" w:name="_Toc127151738"/>
      <w:r/>
      <w:bookmarkStart w:id="488" w:name="_Toc151193707"/>
      <w:r/>
      <w:bookmarkStart w:id="489" w:name="_Toc151193635"/>
      <w:r/>
      <w:bookmarkStart w:id="490" w:name="_Toc150774742"/>
      <w:r/>
      <w:bookmarkStart w:id="491" w:name="_Toc264969227"/>
      <w:r/>
      <w:bookmarkStart w:id="492" w:name="_Toc226965810"/>
      <w:r/>
      <w:bookmarkStart w:id="493" w:name="_Toc151193925"/>
      <w:r/>
      <w:bookmarkStart w:id="494" w:name="_Toc149720830"/>
      <w:r/>
      <w:bookmarkStart w:id="495" w:name="_Toc164351631"/>
      <w:r/>
      <w:bookmarkStart w:id="496" w:name="_Toc150509288"/>
      <w:r/>
      <w:bookmarkStart w:id="497" w:name="_Toc226309781"/>
      <w:r/>
      <w:bookmarkStart w:id="498" w:name="_Toc164608806"/>
      <w:r/>
      <w:bookmarkStart w:id="499" w:name="_Toc142311039"/>
      <w:r/>
      <w:bookmarkStart w:id="500" w:name="_Toc520356162"/>
      <w:r/>
      <w:bookmarkStart w:id="501" w:name="_Toc127161451"/>
      <w:r/>
      <w:bookmarkStart w:id="502" w:name="_Toc226337233"/>
      <w:r/>
      <w:bookmarkStart w:id="503" w:name="_Toc164229378"/>
      <w:r/>
      <w:bookmarkStart w:id="504" w:name="_Toc127151537"/>
      <w:r/>
      <w:bookmarkStart w:id="505" w:name="_Toc305158805"/>
      <w:r/>
      <w:bookmarkStart w:id="506" w:name="_Toc265228375"/>
      <w:r/>
      <w:bookmarkStart w:id="507" w:name="_Toc151193779"/>
      <w:r/>
      <w:bookmarkStart w:id="508" w:name="_Toc150480775"/>
      <w:r/>
      <w:bookmarkStart w:id="509" w:name="_Toc164229232"/>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10" w:name="_Toc226965728"/>
      <w:r/>
      <w:bookmarkStart w:id="511" w:name="_Toc150480776"/>
      <w:r/>
      <w:bookmarkStart w:id="512" w:name="_Toc264969228"/>
      <w:r/>
      <w:bookmarkStart w:id="513" w:name="_Toc151193926"/>
      <w:r/>
      <w:bookmarkStart w:id="514" w:name="_Toc305158880"/>
      <w:r/>
      <w:bookmarkStart w:id="515" w:name="_Toc150774638"/>
      <w:r/>
      <w:bookmarkStart w:id="516" w:name="_Toc151193780"/>
      <w:r/>
      <w:bookmarkStart w:id="517" w:name="_Toc142311040"/>
      <w:r/>
      <w:bookmarkStart w:id="518" w:name="_Toc226965811"/>
      <w:r/>
      <w:bookmarkStart w:id="519" w:name="_Toc195842903"/>
      <w:r/>
      <w:bookmarkStart w:id="520" w:name="_Toc151193852"/>
      <w:r/>
      <w:bookmarkStart w:id="521" w:name="_Toc151190165"/>
      <w:r/>
      <w:bookmarkStart w:id="522" w:name="_Toc150509289"/>
      <w:r/>
      <w:bookmarkStart w:id="523" w:name="_Toc226337234"/>
      <w:r/>
      <w:bookmarkStart w:id="524" w:name="_Toc151193636"/>
      <w:r/>
      <w:bookmarkStart w:id="525" w:name="_Toc151193708"/>
      <w:r/>
      <w:bookmarkStart w:id="526" w:name="_Toc305158806"/>
      <w:r/>
      <w:bookmarkStart w:id="527" w:name="_Toc520356163"/>
      <w:r/>
      <w:bookmarkStart w:id="528" w:name="_Toc226309782"/>
      <w:r/>
      <w:bookmarkStart w:id="529" w:name="_Toc127151538"/>
      <w:r/>
      <w:bookmarkStart w:id="530" w:name="_Toc150774743"/>
      <w:r/>
      <w:bookmarkStart w:id="531" w:name="_Toc265228376"/>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27151539"/>
      <w:r/>
      <w:bookmarkStart w:id="533" w:name="_Toc305158881"/>
      <w:r/>
      <w:bookmarkStart w:id="534" w:name="_Toc164608808"/>
      <w:r/>
      <w:bookmarkStart w:id="535" w:name="_Toc164229234"/>
      <w:r/>
      <w:bookmarkStart w:id="536" w:name="_Toc226337235"/>
      <w:r/>
      <w:bookmarkStart w:id="537" w:name="_Toc226965812"/>
      <w:r/>
      <w:bookmarkStart w:id="538" w:name="_Toc151193709"/>
      <w:r/>
      <w:bookmarkStart w:id="539" w:name="_Toc151193781"/>
      <w:r/>
      <w:bookmarkStart w:id="540" w:name="_Toc149720832"/>
      <w:r/>
      <w:bookmarkStart w:id="541" w:name="_Toc164351633"/>
      <w:r/>
      <w:bookmarkStart w:id="542" w:name="_Toc226309783"/>
      <w:r/>
      <w:bookmarkStart w:id="543" w:name="_Toc164229380"/>
      <w:r/>
      <w:bookmarkStart w:id="544" w:name="_Toc150480777"/>
      <w:r/>
      <w:bookmarkStart w:id="545" w:name="_Toc151193853"/>
      <w:r/>
      <w:bookmarkStart w:id="546" w:name="_Toc151190166"/>
      <w:r/>
      <w:bookmarkStart w:id="547" w:name="_Toc142311041"/>
      <w:r/>
      <w:bookmarkStart w:id="548" w:name="_Toc164608653"/>
      <w:r/>
      <w:bookmarkStart w:id="549" w:name="_Toc127151740"/>
      <w:r/>
      <w:bookmarkStart w:id="550" w:name="_Toc151193637"/>
      <w:r/>
      <w:bookmarkStart w:id="551" w:name="_Toc151193927"/>
      <w:r/>
      <w:bookmarkStart w:id="552" w:name="_Toc150509290"/>
      <w:r/>
      <w:bookmarkStart w:id="553" w:name="_Toc265228377"/>
      <w:r/>
      <w:bookmarkStart w:id="554" w:name="_Toc195842904"/>
      <w:r/>
      <w:bookmarkStart w:id="555" w:name="_Toc150774744"/>
      <w:r/>
      <w:bookmarkStart w:id="556" w:name="_Toc127161453"/>
      <w:r/>
      <w:bookmarkStart w:id="557" w:name="_Toc264969229"/>
      <w:r/>
      <w:bookmarkStart w:id="558" w:name="_Toc520356164"/>
      <w:r/>
      <w:bookmarkStart w:id="559" w:name="_Toc150774639"/>
      <w:r/>
      <w:bookmarkStart w:id="560" w:name="_Toc305158807"/>
      <w:r/>
      <w:bookmarkStart w:id="561" w:name="_Toc226965729"/>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0"/>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0"/>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0"/>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0774745"/>
      <w:r/>
      <w:bookmarkStart w:id="564" w:name="_Toc305158808"/>
      <w:r/>
      <w:bookmarkStart w:id="565" w:name="_Toc127161454"/>
      <w:r/>
      <w:bookmarkStart w:id="566" w:name="_Toc151193710"/>
      <w:r/>
      <w:bookmarkStart w:id="567" w:name="_Toc151190167"/>
      <w:r/>
      <w:bookmarkStart w:id="568" w:name="_Toc151193782"/>
      <w:r/>
      <w:bookmarkStart w:id="569" w:name="_Toc226309784"/>
      <w:r/>
      <w:bookmarkStart w:id="570" w:name="_Toc151193638"/>
      <w:r/>
      <w:bookmarkStart w:id="571" w:name="_Toc150509291"/>
      <w:r/>
      <w:bookmarkStart w:id="572" w:name="_Toc164229235"/>
      <w:r/>
      <w:bookmarkStart w:id="573" w:name="_Toc151193928"/>
      <w:r/>
      <w:bookmarkStart w:id="574" w:name="_Toc195842905"/>
      <w:r/>
      <w:bookmarkStart w:id="575" w:name="_Toc305158882"/>
      <w:r/>
      <w:bookmarkStart w:id="576" w:name="_Toc164608809"/>
      <w:r/>
      <w:bookmarkStart w:id="577" w:name="_Toc164229381"/>
      <w:r/>
      <w:bookmarkStart w:id="578" w:name="_Toc150774640"/>
      <w:r/>
      <w:bookmarkStart w:id="579" w:name="_Toc127151540"/>
      <w:r/>
      <w:bookmarkStart w:id="580" w:name="_Toc264969230"/>
      <w:r/>
      <w:bookmarkStart w:id="581" w:name="_Toc164351634"/>
      <w:r/>
      <w:bookmarkStart w:id="582" w:name="_Toc226965813"/>
      <w:r/>
      <w:bookmarkStart w:id="583" w:name="_Toc164608654"/>
      <w:r/>
      <w:bookmarkStart w:id="584" w:name="_Toc142311042"/>
      <w:r/>
      <w:bookmarkStart w:id="585" w:name="_Toc226337236"/>
      <w:r/>
      <w:bookmarkStart w:id="586" w:name="_Toc226965730"/>
      <w:r/>
      <w:bookmarkStart w:id="587" w:name="_Toc151193854"/>
      <w:r/>
      <w:bookmarkStart w:id="588" w:name="_Toc265228378"/>
      <w:r/>
      <w:bookmarkStart w:id="589" w:name="_Toc149720833"/>
      <w:r/>
      <w:bookmarkStart w:id="590" w:name="_Toc127151741"/>
      <w:r/>
      <w:bookmarkStart w:id="591" w:name="_Toc150480778"/>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0"/>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562"/>
        <w:spacing w:before="0" w:line="360" w:lineRule="auto"/>
        <w:rPr>
          <w:rFonts w:hint="eastAsia" w:ascii="宋体" w:hAnsi="宋体" w:eastAsia="宋体" w:cs="宋体"/>
          <w:color w:val="000000"/>
          <w:sz w:val="28"/>
          <w:highlight w:val="none"/>
        </w:rPr>
      </w:pPr>
      <w:r/>
      <w:bookmarkStart w:id="594" w:name="_Toc195842910"/>
      <w:r/>
      <w:bookmarkStart w:id="595" w:name="_Toc151193859"/>
      <w:r/>
      <w:bookmarkStart w:id="596" w:name="_Toc151193787"/>
      <w:r/>
      <w:bookmarkStart w:id="597" w:name="_Toc151193933"/>
      <w:r/>
      <w:bookmarkStart w:id="598" w:name="_Toc226309789"/>
      <w:r/>
      <w:bookmarkStart w:id="599" w:name="_Toc150480783"/>
      <w:r/>
      <w:bookmarkStart w:id="600" w:name="_Toc142311047"/>
      <w:r/>
      <w:bookmarkStart w:id="601" w:name="_Toc226965818"/>
      <w:r/>
      <w:bookmarkStart w:id="602" w:name="_Toc150509296"/>
      <w:r/>
      <w:bookmarkStart w:id="603" w:name="_Toc226337241"/>
      <w:r/>
      <w:bookmarkStart w:id="604" w:name="_Toc151193715"/>
      <w:r/>
      <w:bookmarkStart w:id="605" w:name="_Toc151190172"/>
      <w:r/>
      <w:bookmarkStart w:id="606" w:name="_Toc305158887"/>
      <w:r/>
      <w:bookmarkStart w:id="607" w:name="_Toc226965735"/>
      <w:r/>
      <w:bookmarkStart w:id="608" w:name="_Toc305158813"/>
      <w:r/>
      <w:bookmarkStart w:id="609" w:name="_Toc265228383"/>
      <w:r/>
      <w:bookmarkStart w:id="610" w:name="_Toc264969235"/>
      <w:r/>
      <w:bookmarkStart w:id="611" w:name="_Toc150774750"/>
      <w:r/>
      <w:bookmarkStart w:id="612" w:name="_Toc151193643"/>
      <w:r/>
      <w:bookmarkStart w:id="613" w:name="_Toc150774645"/>
      <w:r/>
      <w:bookmarkStart w:id="614" w:name="_Toc127151545"/>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305158889"/>
      <w:r/>
      <w:bookmarkStart w:id="616" w:name="_Toc305158815"/>
      <w:r/>
      <w:bookmarkStart w:id="617" w:name="_Toc164229388"/>
      <w:r/>
      <w:bookmarkStart w:id="618" w:name="_Toc226965737"/>
      <w:r/>
      <w:bookmarkStart w:id="619" w:name="_Toc151193717"/>
      <w:r/>
      <w:bookmarkStart w:id="620" w:name="_Toc151193935"/>
      <w:r/>
      <w:bookmarkStart w:id="621" w:name="_Toc149720840"/>
      <w:r/>
      <w:bookmarkStart w:id="622" w:name="_Toc226965820"/>
      <w:r/>
      <w:bookmarkStart w:id="623" w:name="_Toc265228385"/>
      <w:r/>
      <w:bookmarkStart w:id="624" w:name="_Toc150774752"/>
      <w:r/>
      <w:bookmarkStart w:id="625" w:name="_Toc151193645"/>
      <w:r/>
      <w:bookmarkStart w:id="626" w:name="_Toc151193861"/>
      <w:r/>
      <w:bookmarkStart w:id="627" w:name="_Toc164608661"/>
      <w:r/>
      <w:bookmarkStart w:id="628" w:name="_Toc164608816"/>
      <w:r/>
      <w:bookmarkStart w:id="629" w:name="_Toc226309791"/>
      <w:r/>
      <w:bookmarkStart w:id="630" w:name="_Toc164351641"/>
      <w:r/>
      <w:bookmarkStart w:id="631" w:name="_Toc195842912"/>
      <w:r/>
      <w:bookmarkStart w:id="632" w:name="_Toc127161461"/>
      <w:r/>
      <w:bookmarkStart w:id="633" w:name="_Toc164229242"/>
      <w:r/>
      <w:bookmarkStart w:id="634" w:name="_Toc127151748"/>
      <w:r/>
      <w:bookmarkStart w:id="635" w:name="_Toc150509298"/>
      <w:r/>
      <w:bookmarkStart w:id="636" w:name="_Toc150480785"/>
      <w:r/>
      <w:bookmarkStart w:id="637" w:name="_Toc226337243"/>
      <w:r/>
      <w:bookmarkStart w:id="638" w:name="_Toc142311049"/>
      <w:r/>
      <w:bookmarkStart w:id="639" w:name="_Toc127151547"/>
      <w:r/>
      <w:bookmarkStart w:id="640" w:name="_Toc151193789"/>
      <w:r/>
      <w:bookmarkStart w:id="641" w:name="_Toc150774647"/>
      <w:r/>
      <w:bookmarkStart w:id="642" w:name="_Toc151190174"/>
      <w:r/>
      <w:bookmarkStart w:id="643" w:name="_Toc264969237"/>
      <w:r>
        <w:rPr>
          <w:rFonts w:hint="eastAsia" w:ascii="宋体" w:hAnsi="宋体" w:eastAsia="宋体" w:cs="宋体"/>
          <w:color w:val="000000"/>
          <w:sz w:val="28"/>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226965739"/>
      <w:r/>
      <w:bookmarkStart w:id="645" w:name="_Toc150774754"/>
      <w:r/>
      <w:bookmarkStart w:id="646" w:name="_Toc264969239"/>
      <w:r/>
      <w:bookmarkStart w:id="647" w:name="_Toc305158891"/>
      <w:r/>
      <w:bookmarkStart w:id="648" w:name="_Toc164229244"/>
      <w:r/>
      <w:bookmarkStart w:id="649" w:name="_Toc149720842"/>
      <w:r/>
      <w:bookmarkStart w:id="650" w:name="_Toc150774649"/>
      <w:r/>
      <w:bookmarkStart w:id="651" w:name="_Toc127161463"/>
      <w:r/>
      <w:bookmarkStart w:id="652" w:name="_Toc520356176"/>
      <w:r/>
      <w:bookmarkStart w:id="653" w:name="_Ref467307090"/>
      <w:r/>
      <w:bookmarkStart w:id="654" w:name="_Ref467306425"/>
      <w:r/>
      <w:bookmarkStart w:id="655" w:name="_Toc151193791"/>
      <w:r/>
      <w:bookmarkStart w:id="656" w:name="_Toc164229390"/>
      <w:r/>
      <w:bookmarkStart w:id="657" w:name="_Toc195842914"/>
      <w:r/>
      <w:bookmarkStart w:id="658" w:name="_Toc226965822"/>
      <w:r/>
      <w:bookmarkStart w:id="659" w:name="_Toc226337245"/>
      <w:r/>
      <w:bookmarkStart w:id="660" w:name="_Toc127151750"/>
      <w:r/>
      <w:bookmarkStart w:id="661" w:name="_Toc305158817"/>
      <w:r/>
      <w:bookmarkStart w:id="662" w:name="_Toc150480787"/>
      <w:r/>
      <w:bookmarkStart w:id="663" w:name="_Toc226309793"/>
      <w:r/>
      <w:bookmarkStart w:id="664" w:name="_Toc127151549"/>
      <w:r/>
      <w:bookmarkStart w:id="665" w:name="_Toc265228387"/>
      <w:r/>
      <w:bookmarkStart w:id="666" w:name="_Toc164608663"/>
      <w:r/>
      <w:bookmarkStart w:id="667" w:name="_Toc151193937"/>
      <w:r/>
      <w:bookmarkStart w:id="668" w:name="_Toc164351643"/>
      <w:r/>
      <w:bookmarkStart w:id="669" w:name="_Toc151193719"/>
      <w:r/>
      <w:bookmarkStart w:id="670" w:name="_Toc164608818"/>
      <w:r/>
      <w:bookmarkStart w:id="671" w:name="_Toc150509300"/>
      <w:r/>
      <w:bookmarkStart w:id="672" w:name="_Toc151193863"/>
      <w:r/>
      <w:bookmarkStart w:id="673" w:name="_Toc151193647"/>
      <w:r/>
      <w:bookmarkStart w:id="674" w:name="_Toc151190176"/>
      <w:r/>
      <w:bookmarkStart w:id="675" w:name="_Toc142311051"/>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0"/>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64351644"/>
      <w:r/>
      <w:bookmarkStart w:id="677" w:name="_Toc164229245"/>
      <w:r/>
      <w:bookmarkStart w:id="678" w:name="_Toc164608664"/>
      <w:r/>
      <w:bookmarkStart w:id="679" w:name="_Toc151193792"/>
      <w:r/>
      <w:bookmarkStart w:id="680" w:name="_Toc142311052"/>
      <w:r/>
      <w:bookmarkStart w:id="681" w:name="_Toc150509301"/>
      <w:r/>
      <w:bookmarkStart w:id="682" w:name="_Toc150774650"/>
      <w:r/>
      <w:bookmarkStart w:id="683" w:name="_Toc195842915"/>
      <w:r/>
      <w:bookmarkStart w:id="684" w:name="_Toc305158892"/>
      <w:r/>
      <w:bookmarkStart w:id="685" w:name="_Toc164608819"/>
      <w:r/>
      <w:bookmarkStart w:id="686" w:name="_Ref467306978"/>
      <w:r/>
      <w:bookmarkStart w:id="687" w:name="_Toc151193938"/>
      <w:r/>
      <w:bookmarkStart w:id="688" w:name="_Toc226965823"/>
      <w:r/>
      <w:bookmarkStart w:id="689" w:name="_Toc305158818"/>
      <w:r/>
      <w:bookmarkStart w:id="690" w:name="_Toc265228388"/>
      <w:r/>
      <w:bookmarkStart w:id="691" w:name="_Toc164229391"/>
      <w:r/>
      <w:bookmarkStart w:id="692" w:name="_Toc151190177"/>
      <w:r/>
      <w:bookmarkStart w:id="693" w:name="_Toc226337246"/>
      <w:r/>
      <w:bookmarkStart w:id="694" w:name="_Toc151193720"/>
      <w:r/>
      <w:bookmarkStart w:id="695" w:name="_Ref467307062"/>
      <w:r/>
      <w:bookmarkStart w:id="696" w:name="_Toc151193864"/>
      <w:r/>
      <w:bookmarkStart w:id="697" w:name="_Toc127161464"/>
      <w:r/>
      <w:bookmarkStart w:id="698" w:name="_Toc226309794"/>
      <w:r/>
      <w:bookmarkStart w:id="699" w:name="_Toc264969240"/>
      <w:r/>
      <w:bookmarkStart w:id="700" w:name="_Toc151193648"/>
      <w:r/>
      <w:bookmarkStart w:id="701" w:name="_Ref467306377"/>
      <w:r/>
      <w:bookmarkStart w:id="702" w:name="_Ref467307204"/>
      <w:r/>
      <w:bookmarkStart w:id="703" w:name="_Toc127151751"/>
      <w:r/>
      <w:bookmarkStart w:id="704" w:name="_Toc150774755"/>
      <w:r/>
      <w:bookmarkStart w:id="705" w:name="_Toc150480788"/>
      <w:r/>
      <w:bookmarkStart w:id="706" w:name="_Toc520356175"/>
      <w:r/>
      <w:bookmarkStart w:id="707" w:name="_Toc149720843"/>
      <w:r/>
      <w:bookmarkStart w:id="708" w:name="_Toc127151550"/>
      <w:r/>
      <w:bookmarkStart w:id="709" w:name="_Toc226965740"/>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0"/>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5"/>
          <w:rFonts w:hint="eastAsia" w:ascii="宋体" w:hAnsi="宋体" w:cs="宋体"/>
          <w:color w:val="000000"/>
          <w:highlight w:val="none"/>
        </w:rPr>
        <w:t xml:space="preserve">http://gk</w:t>
      </w:r>
      <w:bookmarkStart w:id="710" w:name="_Hlt100654014"/>
      <w:r>
        <w:rPr>
          <w:rStyle w:val="1145"/>
          <w:rFonts w:hint="eastAsia" w:ascii="宋体" w:hAnsi="宋体" w:cs="宋体"/>
          <w:color w:val="000000"/>
          <w:highlight w:val="none"/>
        </w:rPr>
        <w:t xml:space="preserve">s</w:t>
      </w:r>
      <w:bookmarkEnd w:id="710"/>
      <w:r>
        <w:rPr>
          <w:rStyle w:val="1145"/>
          <w:rFonts w:hint="eastAsia" w:ascii="宋体" w:hAnsi="宋体" w:cs="宋体"/>
          <w:color w:val="000000"/>
          <w:highlight w:val="none"/>
        </w:rPr>
        <w:t xml:space="preserve">.m</w:t>
      </w:r>
      <w:bookmarkStart w:id="711" w:name="_Hlt100653993"/>
      <w:r/>
      <w:bookmarkStart w:id="712" w:name="_Hlt100653994"/>
      <w:r>
        <w:rPr>
          <w:rStyle w:val="1145"/>
          <w:rFonts w:hint="eastAsia" w:ascii="宋体" w:hAnsi="宋体" w:cs="宋体"/>
          <w:color w:val="000000"/>
          <w:highlight w:val="none"/>
        </w:rPr>
        <w:t xml:space="preserve">o</w:t>
      </w:r>
      <w:bookmarkEnd w:id="711"/>
      <w:r/>
      <w:bookmarkEnd w:id="712"/>
      <w:r>
        <w:rPr>
          <w:rStyle w:val="1145"/>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0"/>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13" w:name="_Toc353873664"/>
      <w:r/>
      <w:bookmarkStart w:id="714" w:name="_Toc305158822"/>
      <w:r/>
      <w:bookmarkStart w:id="715" w:name="_Toc265228392"/>
      <w:r/>
      <w:bookmarkStart w:id="716" w:name="_Toc127151554"/>
      <w:r/>
      <w:bookmarkStart w:id="717" w:name="_Toc226337250"/>
      <w:r/>
      <w:bookmarkStart w:id="718" w:name="_Toc150480792"/>
      <w:r/>
      <w:bookmarkStart w:id="719" w:name="_Toc353873934"/>
      <w:r/>
      <w:bookmarkStart w:id="720" w:name="_Toc142311056"/>
      <w:r/>
      <w:bookmarkStart w:id="721" w:name="_Toc150774759"/>
      <w:r/>
      <w:bookmarkStart w:id="722" w:name="_Toc305158896"/>
      <w:r/>
      <w:bookmarkStart w:id="723" w:name="_Toc353825544"/>
      <w:r/>
      <w:bookmarkStart w:id="724" w:name="_Toc264969244"/>
      <w:r/>
      <w:bookmarkStart w:id="725" w:name="_Toc226965827"/>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0"/>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45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0"/>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0"/>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0"/>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0"/>
              <w:jc w:val="cente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066"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0"/>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0"/>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353825550"/>
      <w:r/>
      <w:bookmarkStart w:id="732" w:name="_Toc226965858"/>
      <w:r/>
      <w:bookmarkStart w:id="733" w:name="_Toc353873940"/>
      <w:r/>
      <w:bookmarkStart w:id="734"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0"/>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0"/>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0"/>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51193929"/>
      <w:r/>
      <w:bookmarkStart w:id="738" w:name="_Toc151190168"/>
      <w:r/>
      <w:bookmarkStart w:id="739" w:name="_Toc305158883"/>
      <w:r/>
      <w:bookmarkStart w:id="740" w:name="_Toc150774746"/>
      <w:r/>
      <w:bookmarkStart w:id="741" w:name="_Toc127151742"/>
      <w:r/>
      <w:bookmarkStart w:id="742" w:name="_Toc164608810"/>
      <w:r/>
      <w:bookmarkStart w:id="743" w:name="_Toc305158809"/>
      <w:r/>
      <w:bookmarkStart w:id="744" w:name="_Toc149720834"/>
      <w:r/>
      <w:bookmarkStart w:id="745" w:name="_Toc164351635"/>
      <w:r/>
      <w:bookmarkStart w:id="746" w:name="_Toc150480779"/>
      <w:r/>
      <w:bookmarkStart w:id="747" w:name="_Toc151193711"/>
      <w:r/>
      <w:bookmarkStart w:id="748" w:name="_Toc195842906"/>
      <w:r/>
      <w:bookmarkStart w:id="749" w:name="_Toc226337237"/>
      <w:r/>
      <w:bookmarkStart w:id="750" w:name="_Toc164229236"/>
      <w:r/>
      <w:bookmarkStart w:id="751" w:name="_Toc151193855"/>
      <w:r/>
      <w:bookmarkStart w:id="752" w:name="_Toc264969231"/>
      <w:r/>
      <w:bookmarkStart w:id="753" w:name="_Toc150774641"/>
      <w:r/>
      <w:bookmarkStart w:id="754" w:name="_Toc164608655"/>
      <w:r/>
      <w:bookmarkStart w:id="755" w:name="_Toc142311043"/>
      <w:r/>
      <w:bookmarkStart w:id="756" w:name="_Toc226965731"/>
      <w:r/>
      <w:bookmarkStart w:id="757" w:name="_Toc151193639"/>
      <w:r/>
      <w:bookmarkStart w:id="758" w:name="_Toc127161455"/>
      <w:r/>
      <w:bookmarkStart w:id="759" w:name="_Toc226309785"/>
      <w:r/>
      <w:bookmarkStart w:id="760" w:name="_Toc151193783"/>
      <w:r/>
      <w:bookmarkStart w:id="761" w:name="_Toc164229382"/>
      <w:r/>
      <w:bookmarkStart w:id="762" w:name="_Toc265228379"/>
      <w:r/>
      <w:bookmarkStart w:id="763" w:name="_Toc226965814"/>
      <w:r/>
      <w:bookmarkStart w:id="764" w:name="_Toc150509292"/>
      <w:r/>
      <w:bookmarkStart w:id="765" w:name="_Toc127151541"/>
      <w:r/>
      <w:bookmarkStart w:id="766" w:name="_Toc353873941"/>
      <w:r/>
      <w:bookmarkStart w:id="767" w:name="_Toc353825551"/>
      <w:r/>
      <w:bookmarkStart w:id="768" w:name="_Toc150774760"/>
      <w:r/>
      <w:bookmarkStart w:id="769" w:name="_Toc353825545"/>
      <w:r/>
      <w:bookmarkStart w:id="770" w:name="_Toc305158823"/>
      <w:r/>
      <w:bookmarkStart w:id="771" w:name="_Toc127151555"/>
      <w:r/>
      <w:bookmarkStart w:id="772" w:name="_Toc226965828"/>
      <w:r/>
      <w:bookmarkStart w:id="773" w:name="_Toc226337251"/>
      <w:r/>
      <w:bookmarkStart w:id="774" w:name="_Toc150480793"/>
      <w:r/>
      <w:bookmarkStart w:id="775" w:name="_Toc265228393"/>
      <w:r/>
      <w:bookmarkStart w:id="776" w:name="_Toc305158897"/>
      <w:r/>
      <w:bookmarkStart w:id="777" w:name="_Toc353873935"/>
      <w:r/>
      <w:bookmarkStart w:id="778" w:name="_Toc353873665"/>
      <w:r/>
      <w:bookmarkStart w:id="779" w:name="_Toc264969245"/>
      <w:r/>
      <w:bookmarkStart w:id="780" w:name="_Toc195842920"/>
      <w:r/>
      <w:bookmarkStart w:id="781" w:name="_Toc142311057"/>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0"/>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0"/>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1、投标（响应）报价低于采购项目预算50%的，即投标（响应）报价&lt;采购项目预算×50%；</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2、投标（响应）报价低于采购项目最高限价45%的，即投 标（响应）报价&lt;采购项目最高限价×45%；</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3、评审委员会认定的供应商报价过低、有可能影响产品质 量或者不能诚信履约的其他情形。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42311048"/>
      <w:r/>
      <w:bookmarkStart w:id="784" w:name="_Toc151193716"/>
      <w:r/>
      <w:bookmarkStart w:id="785" w:name="_Toc164229241"/>
      <w:r/>
      <w:bookmarkStart w:id="786" w:name="_Toc127151546"/>
      <w:r/>
      <w:bookmarkStart w:id="787" w:name="_Toc151190173"/>
      <w:r/>
      <w:bookmarkStart w:id="788" w:name="_Toc151193934"/>
      <w:r/>
      <w:bookmarkStart w:id="789" w:name="_Toc305158888"/>
      <w:r/>
      <w:bookmarkStart w:id="790" w:name="_Toc520356170"/>
      <w:r/>
      <w:bookmarkStart w:id="791" w:name="_Toc164608660"/>
      <w:r/>
      <w:bookmarkStart w:id="792" w:name="_Ref467307010"/>
      <w:r/>
      <w:bookmarkStart w:id="793" w:name="_Toc127151747"/>
      <w:r/>
      <w:bookmarkStart w:id="794" w:name="_Toc264969236"/>
      <w:r/>
      <w:bookmarkStart w:id="795" w:name="_Toc150509297"/>
      <w:r/>
      <w:bookmarkStart w:id="796" w:name="_Toc164229387"/>
      <w:r/>
      <w:bookmarkStart w:id="797" w:name="_Toc226309790"/>
      <w:r/>
      <w:bookmarkStart w:id="798" w:name="_Toc195842911"/>
      <w:r/>
      <w:bookmarkStart w:id="799" w:name="_Toc151193788"/>
      <w:r/>
      <w:bookmarkStart w:id="800" w:name="_Toc127161460"/>
      <w:r/>
      <w:bookmarkStart w:id="801" w:name="_Toc164608815"/>
      <w:r/>
      <w:bookmarkStart w:id="802" w:name="_Toc226337242"/>
      <w:r/>
      <w:bookmarkStart w:id="803" w:name="_Toc226965819"/>
      <w:r/>
      <w:bookmarkStart w:id="804" w:name="_Toc226965736"/>
      <w:r/>
      <w:bookmarkStart w:id="805" w:name="_Toc150480784"/>
      <w:r/>
      <w:bookmarkStart w:id="806" w:name="_Toc150774751"/>
      <w:r/>
      <w:bookmarkStart w:id="807" w:name="_Toc151193860"/>
      <w:r/>
      <w:bookmarkStart w:id="808" w:name="_Toc164351640"/>
      <w:r/>
      <w:bookmarkStart w:id="809" w:name="_Toc265228384"/>
      <w:r/>
      <w:bookmarkStart w:id="810" w:name="_Toc149720839"/>
      <w:r/>
      <w:bookmarkStart w:id="811" w:name="_Toc305158814"/>
      <w:r/>
      <w:bookmarkStart w:id="812" w:name="_Toc151193644"/>
      <w:r/>
      <w:bookmarkStart w:id="813" w:name="_Toc150774646"/>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09"/>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0"/>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0"/>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0"/>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0"/>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tbl>
      <w:tblPr>
        <w:tblW w:w="5000"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369"/>
        <w:gridCol w:w="883"/>
        <w:gridCol w:w="3612"/>
        <w:gridCol w:w="2583"/>
      </w:tblGrid>
      <w:tr>
        <w:trPr>
          <w:trHeight w:val="170"/>
        </w:trPr>
        <w:tc>
          <w:tcPr>
            <w:tcW w:w="453"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944"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389" w:type="dxa"/>
            <w:vAlign w:val="center"/>
            <w:textDirection w:val="lrTb"/>
            <w:noWrap w:val="false"/>
          </w:tcPr>
          <w:p>
            <w:pPr>
              <w:pStyle w:val="1131"/>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453" w:type="dxa"/>
            <w:vAlign w:val="center"/>
            <w:textDirection w:val="lrTb"/>
            <w:noWrap w:val="false"/>
          </w:tcPr>
          <w:p>
            <w:pPr>
              <w:pStyle w:val="1070"/>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1</w:t>
            </w:r>
            <w:r>
              <w:rPr>
                <w:rFonts w:hint="eastAsia" w:ascii="宋体" w:hAnsi="宋体" w:cs="宋体"/>
                <w:b/>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0"/>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r>
              <w:rPr>
                <w:rFonts w:hint="eastAsia" w:ascii="宋体" w:hAnsi="宋体" w:cs="宋体"/>
                <w:b/>
                <w:color w:val="000000"/>
                <w:sz w:val="24"/>
                <w:highlight w:val="none"/>
              </w:rPr>
            </w:r>
            <w:r/>
          </w:p>
        </w:tc>
        <w:tc>
          <w:tcPr>
            <w:tcW w:w="1389" w:type="dxa"/>
            <w:vAlign w:val="center"/>
            <w:textDirection w:val="lrTb"/>
            <w:noWrap w:val="false"/>
          </w:tcPr>
          <w:p>
            <w:pPr>
              <w:pStyle w:val="107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highlight w:val="none"/>
              </w:rPr>
            </w:pPr>
            <w:r>
              <w:rPr>
                <w:rFonts w:ascii="宋体" w:hAnsi="宋体" w:cs="宋体"/>
                <w:color w:val="000000"/>
                <w:sz w:val="24"/>
                <w:highlight w:val="none"/>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27</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9"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2.1</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070"/>
              <w:jc w:val="left"/>
              <w:spacing w:line="360" w:lineRule="exact"/>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5</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0"/>
              <w:spacing w:line="360" w:lineRule="exact"/>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841" w:type="dxa"/>
            <w:vAlign w:val="center"/>
            <w:textDirection w:val="lrTb"/>
            <w:noWrap w:val="false"/>
          </w:tcPr>
          <w:p>
            <w:pPr>
              <w:pStyle w:val="1070"/>
              <w:jc w:val="left"/>
              <w:spacing w:line="360" w:lineRule="exact"/>
              <w:widowControl/>
              <w:rPr>
                <w:rFonts w:hint="eastAsia" w:ascii="宋体" w:hAnsi="宋体" w:cs="宋体"/>
                <w:color w:val="000000"/>
                <w:sz w:val="24"/>
                <w:highlight w:val="none"/>
                <w:lang w:val="en-US" w:eastAsia="zh-CN" w:bidi="ar"/>
              </w:rPr>
            </w:pPr>
            <w:r>
              <w:rPr>
                <w:rFonts w:hint="eastAsia" w:ascii="宋体" w:hAnsi="宋体" w:cs="宋体"/>
                <w:color w:val="000000"/>
                <w:szCs w:val="21"/>
                <w:highlight w:val="none"/>
                <w:lang w:val="en-US" w:eastAsia="zh-CN"/>
              </w:rPr>
              <w:t xml:space="preserve">2.2</w:t>
            </w:r>
            <w:r>
              <w:rPr>
                <w:rFonts w:hint="eastAsia" w:ascii="宋体" w:hAnsi="宋体" w:cs="宋体"/>
                <w:color w:val="000000"/>
                <w:sz w:val="24"/>
                <w:highlight w:val="none"/>
                <w:lang w:val="en-US" w:eastAsia="zh-CN" w:bidi="ar"/>
              </w:rPr>
            </w:r>
            <w:r/>
          </w:p>
        </w:tc>
        <w:tc>
          <w:tcPr>
            <w:tcW w:w="1369" w:type="dxa"/>
            <w:vAlign w:val="center"/>
            <w:textDirection w:val="lrTb"/>
            <w:noWrap w:val="false"/>
          </w:tcPr>
          <w:p>
            <w:pPr>
              <w:pStyle w:val="1070"/>
              <w:jc w:val="left"/>
              <w:spacing w:line="360" w:lineRule="exact"/>
              <w:widowControl/>
              <w:tabs>
                <w:tab w:val="left" w:pos="1200" w:leader="none"/>
              </w:tabs>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产品质量保障方案</w:t>
            </w:r>
            <w:r>
              <w:rPr>
                <w:rFonts w:hint="eastAsia" w:ascii="宋体" w:hAnsi="宋体" w:eastAsia="宋体" w:cs="宋体"/>
                <w:color w:val="000000"/>
                <w:sz w:val="24"/>
                <w:highlight w:val="none"/>
                <w:lang w:bidi="ar"/>
              </w:rPr>
            </w:r>
            <w:r/>
          </w:p>
        </w:tc>
        <w:tc>
          <w:tcPr>
            <w:tcW w:w="883" w:type="dxa"/>
            <w:vAlign w:val="center"/>
            <w:textDirection w:val="lrTb"/>
            <w:noWrap w:val="false"/>
          </w:tcPr>
          <w:p>
            <w:pPr>
              <w:pStyle w:val="1070"/>
              <w:jc w:val="center"/>
              <w:spacing w:line="360" w:lineRule="exact"/>
              <w:widowControl/>
              <w:tabs>
                <w:tab w:val="left" w:pos="1200" w:leader="none"/>
              </w:tabs>
              <w:rPr>
                <w:rFonts w:hint="eastAsia" w:ascii="宋体" w:hAnsi="宋体" w:eastAsia="宋体" w:cs="宋体"/>
                <w:color w:val="000000"/>
                <w:sz w:val="24"/>
                <w:highlight w:val="none"/>
                <w:lang w:bidi="ar"/>
              </w:rPr>
            </w:pPr>
            <w:r>
              <w:rPr>
                <w:rFonts w:hint="eastAsia" w:ascii="宋体" w:hAnsi="宋体" w:cs="宋体"/>
                <w:color w:val="000000"/>
                <w:sz w:val="24"/>
                <w:highlight w:val="none"/>
                <w:lang w:bidi="ar"/>
              </w:rPr>
              <w:t xml:space="preserve">5</w:t>
            </w:r>
            <w:r>
              <w:rPr>
                <w:rFonts w:hint="eastAsia" w:ascii="宋体" w:hAnsi="宋体" w:eastAsia="宋体" w:cs="宋体"/>
                <w:color w:val="000000"/>
                <w:sz w:val="24"/>
                <w:highlight w:val="none"/>
                <w:lang w:bidi="ar"/>
              </w:rPr>
            </w:r>
            <w:r/>
          </w:p>
        </w:tc>
        <w:tc>
          <w:tcPr>
            <w:tcW w:w="3612" w:type="dxa"/>
            <w:vAlign w:val="center"/>
            <w:textDirection w:val="lrTb"/>
            <w:noWrap w:val="false"/>
          </w:tcPr>
          <w:p>
            <w:pPr>
              <w:pStyle w:val="1070"/>
              <w:jc w:val="left"/>
              <w:spacing w:line="360" w:lineRule="exact"/>
              <w:widowControl/>
              <w:tabs>
                <w:tab w:val="left" w:pos="1200" w:leader="none"/>
              </w:tabs>
              <w:rPr>
                <w:rFonts w:hint="eastAsia" w:ascii="宋体" w:hAnsi="宋体" w:eastAsia="宋体" w:cs="宋体"/>
                <w:color w:val="000000"/>
                <w:sz w:val="24"/>
                <w:highlight w:val="none"/>
                <w:lang w:val="zh-CN" w:eastAsia="zh-CN" w:bidi="ar"/>
              </w:rPr>
            </w:pPr>
            <w:r>
              <w:rPr>
                <w:rFonts w:hint="eastAsia" w:ascii="宋体" w:hAnsi="宋体" w:eastAsia="宋体" w:cs="宋体"/>
                <w:color w:val="000000"/>
                <w:sz w:val="24"/>
                <w:highlight w:val="none"/>
                <w:lang w:val="zh-CN" w:bidi="ar"/>
              </w:rPr>
              <w:t xml:space="preserve">投标人提供产品质量保障方案</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en-US" w:eastAsia="zh-CN" w:bidi="ar"/>
              </w:rPr>
              <w:t xml:space="preserve">包括</w:t>
            </w:r>
            <w:r>
              <w:rPr>
                <w:rFonts w:hint="eastAsia" w:ascii="宋体" w:hAnsi="宋体" w:eastAsia="宋体" w:cs="宋体"/>
                <w:color w:val="000000"/>
                <w:sz w:val="24"/>
                <w:highlight w:val="none"/>
                <w:lang w:val="zh-CN" w:bidi="ar"/>
              </w:rPr>
              <w:t xml:space="preserve">货物质量保证</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zh-CN" w:bidi="ar"/>
              </w:rPr>
              <w:t xml:space="preserve">货物检验标准、货物来源渠道等</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zh-CN" w:eastAsia="zh-CN" w:bidi="ar"/>
              </w:rPr>
            </w:r>
            <w:r/>
          </w:p>
          <w:p>
            <w:pPr>
              <w:pStyle w:val="1070"/>
              <w:jc w:val="left"/>
              <w:spacing w:line="360" w:lineRule="exact"/>
              <w:widowControl/>
              <w:tabs>
                <w:tab w:val="left" w:pos="1200" w:leader="none"/>
              </w:tabs>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ascii="宋体" w:hAnsi="宋体" w:eastAsia="宋体" w:cs="宋体"/>
                <w:color w:val="000000"/>
                <w:sz w:val="24"/>
                <w:highlight w:val="none"/>
                <w:lang w:bidi="ar"/>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2.3</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131"/>
              <w:jc w:val="center"/>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培训方案</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szCs w:val="24"/>
                <w:highlight w:val="none"/>
                <w:lang w:val="en-US" w:eastAsia="zh-CN" w:bidi="ar-SA"/>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不提供不得分。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2.4</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070"/>
              <w:jc w:val="left"/>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szCs w:val="24"/>
                <w:highlight w:val="none"/>
                <w:lang w:val="en-US" w:eastAsia="zh-CN" w:bidi="ar-SA"/>
              </w:rPr>
            </w:r>
            <w:r/>
          </w:p>
        </w:tc>
        <w:tc>
          <w:tcPr>
            <w:tcW w:w="1944" w:type="dxa"/>
            <w:vAlign w:val="center"/>
            <w:textDirection w:val="lrTb"/>
            <w:noWrap w:val="false"/>
          </w:tcPr>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w:t>
            </w:r>
            <w:r>
              <w:rPr>
                <w:rFonts w:hint="eastAsia" w:ascii="宋体" w:hAnsi="宋体" w:cs="宋体"/>
                <w:color w:val="000000"/>
                <w:sz w:val="24"/>
                <w:highlight w:val="none"/>
                <w:lang w:val="en-US" w:eastAsia="zh-CN" w:bidi="ar"/>
              </w:rPr>
              <w:t xml:space="preserve">2.5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0"/>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不提供不得分。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2.5</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070"/>
              <w:jc w:val="left"/>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质保期满后维保收费及内容比较</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szCs w:val="24"/>
                <w:highlight w:val="none"/>
                <w:lang w:val="en-US" w:eastAsia="zh-CN" w:bidi="ar-SA"/>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质保期满后维保收费及内容比较：</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提供零配件和维修备品备件的供应保障和维保期满后维保收费及维保方案内容完整清晰，优于项目需求的得</w:t>
            </w:r>
            <w:r>
              <w:rPr>
                <w:rFonts w:hint="eastAsia"/>
                <w:color w:val="000000"/>
                <w:highlight w:val="none"/>
                <w:lang w:val="en-US" w:eastAsia="zh-CN" w:bidi="ar"/>
              </w:rPr>
              <w:t xml:space="preserve">4</w:t>
            </w:r>
            <w:r>
              <w:rPr>
                <w:rFonts w:hint="eastAsia"/>
                <w:color w:val="000000"/>
                <w:highlight w:val="none"/>
                <w:lang w:bidi="ar"/>
              </w:rPr>
              <w:t xml:space="preserve">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零配件和维修备品备件的供应保障和维保期满后维保收费及维保方案内容较完整，满足项目需求的得</w:t>
            </w:r>
            <w:r>
              <w:rPr>
                <w:rFonts w:hint="eastAsia"/>
                <w:color w:val="000000"/>
                <w:highlight w:val="none"/>
                <w:lang w:val="en-US" w:eastAsia="zh-CN" w:bidi="ar"/>
              </w:rPr>
              <w:t xml:space="preserve">2.5</w:t>
            </w:r>
            <w:r>
              <w:rPr>
                <w:rFonts w:hint="eastAsia"/>
                <w:color w:val="000000"/>
                <w:highlight w:val="none"/>
                <w:lang w:bidi="ar"/>
              </w:rPr>
              <w:t xml:space="preserve">分；</w:t>
            </w:r>
            <w:r>
              <w:rPr>
                <w:rFonts w:hint="eastAsia"/>
                <w:color w:val="000000"/>
                <w:highlight w:val="none"/>
              </w:rPr>
            </w:r>
            <w:r/>
          </w:p>
          <w:p>
            <w:pPr>
              <w:pStyle w:val="1131"/>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零配件和维修备品备件的供应保障和维保期满后维保收费及维保方案内容介绍简单的得1分；</w:t>
            </w:r>
            <w:r>
              <w:rPr>
                <w:rFonts w:hint="eastAsia"/>
                <w:color w:val="000000"/>
                <w:highlight w:val="none"/>
              </w:rPr>
            </w:r>
            <w:r/>
          </w:p>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不提供不得分。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2.6</w:t>
            </w:r>
            <w:r>
              <w:rPr>
                <w:rFonts w:ascii="宋体" w:hAnsi="宋体" w:eastAsia="宋体" w:cs="宋体"/>
                <w:color w:val="000000"/>
                <w:sz w:val="24"/>
                <w:highlight w:val="none"/>
                <w:lang w:val="en-US" w:eastAsia="zh-CN" w:bidi="ar"/>
              </w:rPr>
            </w:r>
            <w:r/>
          </w:p>
        </w:tc>
        <w:tc>
          <w:tcPr>
            <w:tcW w:w="736" w:type="dxa"/>
            <w:vAlign w:val="center"/>
            <w:textDirection w:val="lrTb"/>
            <w:noWrap w:val="false"/>
          </w:tcPr>
          <w:p>
            <w:pPr>
              <w:pStyle w:val="1131"/>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31"/>
              <w:jc w:val="center"/>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val="zh-CN" w:bidi="ar"/>
              </w:rPr>
              <w:t xml:space="preserve">情况比较</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5</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highlight w:val="none"/>
                <w:lang w:val="zh-CN"/>
              </w:rPr>
            </w:r>
            <w:r/>
          </w:p>
          <w:p>
            <w:pPr>
              <w:pStyle w:val="107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针对本项目的投标产品配置选型一般、且与项目需求的吻合度一般，得3分；</w:t>
            </w:r>
            <w:r>
              <w:rPr>
                <w:rFonts w:hint="eastAsia" w:ascii="宋体" w:hAnsi="宋体" w:cs="宋体"/>
                <w:color w:val="000000"/>
                <w:sz w:val="24"/>
                <w:highlight w:val="none"/>
                <w:lang w:val="zh-CN"/>
              </w:rPr>
            </w:r>
            <w:r/>
          </w:p>
          <w:p>
            <w:pPr>
              <w:pStyle w:val="1070"/>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val="zh-CN" w:bidi="ar"/>
              </w:rPr>
              <w:t xml:space="preserve">其余不得分。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客</w:t>
            </w:r>
            <w:r>
              <w:rPr>
                <w:rFonts w:hint="eastAsia" w:ascii="宋体" w:hAnsi="宋体" w:cs="宋体"/>
                <w:color w:val="000000"/>
                <w:sz w:val="24"/>
                <w:highlight w:val="none"/>
                <w:lang w:bidi="ar"/>
              </w:rPr>
              <w:t xml:space="preserve">观分</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43</w:t>
            </w:r>
            <w:r>
              <w:rPr>
                <w:rFonts w:ascii="宋体" w:hAnsi="宋体" w:eastAsia="宋体" w:cs="宋体"/>
                <w:color w:val="000000"/>
                <w:sz w:val="24"/>
                <w:highlight w:val="none"/>
                <w:lang w:val="en-US" w:eastAsia="zh-CN"/>
              </w:rPr>
            </w:r>
            <w:r/>
          </w:p>
        </w:tc>
        <w:tc>
          <w:tcPr>
            <w:tcW w:w="1944" w:type="dxa"/>
            <w:vAlign w:val="center"/>
            <w:textDirection w:val="lrTb"/>
            <w:noWrap w:val="false"/>
          </w:tcPr>
          <w:p>
            <w:pPr>
              <w:pStyle w:val="1070"/>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9" w:type="dxa"/>
            <w:vAlign w:val="center"/>
            <w:textDirection w:val="lrTb"/>
            <w:noWrap w:val="false"/>
          </w:tcPr>
          <w:p>
            <w:pPr>
              <w:pStyle w:val="1070"/>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5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技术部分</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38</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070"/>
              <w:spacing w:line="360" w:lineRule="exact"/>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技术要求的符合性，即对提供货物的技术参数、配置、性能是否符合或优于招标文件要求进行评价。符合技术要求的得38分；采购技术要求中带“▲”参数为重要参数，每有一项负偏离的，扣</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w:t>
            </w:r>
            <w:r>
              <w:rPr>
                <w:rFonts w:hint="eastAsia" w:ascii="宋体" w:hAnsi="宋体" w:cs="宋体"/>
                <w:b/>
                <w:color w:val="000000"/>
                <w:sz w:val="24"/>
                <w:highlight w:val="none"/>
                <w:lang w:eastAsia="zh-CN" w:bidi="ar"/>
              </w:rPr>
              <w:t xml:space="preserve">、</w:t>
            </w:r>
            <w:r>
              <w:rPr>
                <w:rFonts w:hint="eastAsia" w:ascii="宋体" w:hAnsi="宋体" w:cs="宋体"/>
                <w:b/>
                <w:color w:val="000000"/>
                <w:sz w:val="24"/>
                <w:highlight w:val="none"/>
                <w:lang w:bidi="ar"/>
              </w:rPr>
              <w:t xml:space="preserve">功能截图等技术支持性文件资料</w:t>
            </w:r>
            <w:r>
              <w:rPr>
                <w:rFonts w:hint="eastAsia" w:ascii="宋体" w:hAnsi="宋体" w:cs="宋体"/>
                <w:b/>
                <w:color w:val="000000"/>
                <w:sz w:val="24"/>
                <w:highlight w:val="none"/>
                <w:lang w:eastAsia="zh-CN" w:bidi="ar"/>
              </w:rPr>
              <w:t xml:space="preserve">(如</w:t>
            </w:r>
            <w:r>
              <w:rPr>
                <w:rFonts w:hint="eastAsia" w:ascii="宋体" w:hAnsi="宋体" w:cs="宋体"/>
                <w:b/>
                <w:color w:val="000000"/>
                <w:sz w:val="24"/>
                <w:highlight w:val="none"/>
                <w:lang w:bidi="ar"/>
              </w:rPr>
              <w:t xml:space="preserve">技术支持性文件资料</w:t>
            </w:r>
            <w:r>
              <w:rPr>
                <w:rFonts w:hint="eastAsia" w:ascii="宋体" w:hAnsi="宋体" w:cs="宋体"/>
                <w:b/>
                <w:color w:val="000000"/>
                <w:sz w:val="24"/>
                <w:highlight w:val="none"/>
                <w:lang w:val="en-US" w:eastAsia="zh-CN" w:bidi="ar"/>
              </w:rPr>
              <w:t xml:space="preserve">非中文版本的</w:t>
            </w:r>
            <w:r>
              <w:rPr>
                <w:rFonts w:hint="eastAsia" w:ascii="宋体" w:hAnsi="宋体" w:cs="宋体"/>
                <w:b/>
                <w:color w:val="000000"/>
                <w:sz w:val="24"/>
                <w:highlight w:val="none"/>
                <w:lang w:eastAsia="zh-CN" w:bidi="ar"/>
              </w:rPr>
              <w:t xml:space="preserve">，请同时提供中文</w:t>
            </w:r>
            <w:r>
              <w:rPr>
                <w:rFonts w:hint="eastAsia" w:ascii="宋体" w:hAnsi="宋体" w:cs="宋体"/>
                <w:b/>
                <w:color w:val="000000"/>
                <w:sz w:val="24"/>
                <w:highlight w:val="none"/>
                <w:lang w:val="en-US" w:eastAsia="zh-CN" w:bidi="ar"/>
              </w:rPr>
              <w:t xml:space="preserve">翻译</w:t>
            </w:r>
            <w:r>
              <w:rPr>
                <w:rFonts w:hint="eastAsia" w:ascii="宋体" w:hAnsi="宋体" w:cs="宋体"/>
                <w:b/>
                <w:color w:val="000000"/>
                <w:sz w:val="24"/>
                <w:highlight w:val="none"/>
                <w:lang w:eastAsia="zh-CN" w:bidi="ar"/>
              </w:rPr>
              <w:t xml:space="preserve">版)</w:t>
            </w:r>
            <w:r>
              <w:rPr>
                <w:rFonts w:hint="eastAsia" w:ascii="宋体" w:hAnsi="宋体" w:cs="宋体"/>
                <w:b/>
                <w:color w:val="000000"/>
                <w:sz w:val="24"/>
                <w:highlight w:val="none"/>
                <w:lang w:bidi="ar"/>
              </w:rPr>
              <w:t xml:space="preserve">，未提供或提供的证明材料不符合要求视为负偏离。 </w:t>
            </w:r>
            <w:r>
              <w:rPr>
                <w:rFonts w:ascii="宋体" w:hAnsi="宋体" w:cs="宋体"/>
                <w:b/>
                <w:color w:val="000000"/>
                <w:sz w:val="24"/>
                <w:highlight w:val="none"/>
                <w:lang w:bidi="ar"/>
              </w:rPr>
            </w:r>
            <w:r/>
          </w:p>
          <w:p>
            <w:pPr>
              <w:pStyle w:val="1070"/>
              <w:spacing w:line="360" w:lineRule="auto"/>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b/>
                <w:color w:val="000000"/>
                <w:sz w:val="24"/>
                <w:highlight w:val="none"/>
                <w:lang w:bidi="ar"/>
              </w:rPr>
              <w:t xml:space="preserve">备注2：完全复制招标文件技术参数要求的，评标小组有权视为所有技术参数负偏离，文字描述、国标、定制尺寸的技术指标除外。</w:t>
            </w:r>
            <w:r>
              <w:rPr>
                <w:rFonts w:hint="eastAsia" w:ascii="宋体" w:hAnsi="宋体" w:cs="宋体"/>
                <w:color w:val="000000"/>
                <w:sz w:val="24"/>
                <w:szCs w:val="24"/>
                <w:highlight w:val="none"/>
                <w:lang w:val="en-US" w:eastAsia="zh-CN" w:bidi="ar-SA"/>
              </w:rPr>
            </w:r>
            <w:r/>
          </w:p>
        </w:tc>
      </w:tr>
      <w:tr>
        <w:trPr>
          <w:trHeight w:val="170"/>
        </w:trPr>
        <w:tc>
          <w:tcPr>
            <w:tcW w:w="45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业绩</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szCs w:val="24"/>
                <w:highlight w:val="none"/>
                <w:lang w:val="en-US" w:eastAsia="zh-CN" w:bidi="ar-SA"/>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ascii="宋体" w:hAnsi="宋体" w:cs="宋体"/>
                <w:b/>
                <w:color w:val="000000"/>
                <w:sz w:val="24"/>
                <w:szCs w:val="24"/>
                <w:highlight w:val="none"/>
                <w:lang w:val="en-US" w:eastAsia="zh-CN" w:bidi="ar-SA"/>
              </w:rPr>
            </w:pPr>
            <w:r/>
            <w:bookmarkStart w:id="814" w:name="OLE_LINK22"/>
            <w:r>
              <w:rPr>
                <w:rFonts w:hint="eastAsia"/>
                <w:color w:val="000000"/>
                <w:highlight w:val="none"/>
                <w:lang w:bidi="ar"/>
              </w:rPr>
              <w:t xml:space="preserve">提供</w:t>
            </w:r>
            <w:r>
              <w:rPr>
                <w:rFonts w:hint="eastAsia"/>
                <w:b/>
                <w:bCs/>
                <w:color w:val="000000"/>
                <w:highlight w:val="none"/>
                <w:lang w:val="en-US" w:eastAsia="zh-CN" w:bidi="ar"/>
              </w:rPr>
              <w:t xml:space="preserve">投标人</w:t>
            </w:r>
            <w:r>
              <w:rPr>
                <w:rFonts w:hint="eastAsia"/>
                <w:b/>
                <w:bCs/>
                <w:color w:val="000000"/>
                <w:highlight w:val="none"/>
                <w:lang w:val="zh-CN" w:eastAsia="zh-CN" w:bidi="ar"/>
              </w:rPr>
              <w:t xml:space="preserve">或者制造商(含制造商其他代理商)</w:t>
            </w:r>
            <w:r>
              <w:rPr>
                <w:rFonts w:hint="eastAsia"/>
                <w:color w:val="000000"/>
                <w:highlight w:val="none"/>
                <w:lang w:bidi="ar"/>
              </w:rPr>
              <w:t xml:space="preserve">自2022年1月1日以来在国内的销售合同</w:t>
            </w:r>
            <w:r>
              <w:rPr>
                <w:rFonts w:hint="eastAsia"/>
                <w:b/>
                <w:color w:val="000000"/>
                <w:highlight w:val="none"/>
                <w:lang w:bidi="ar"/>
              </w:rPr>
              <w:t xml:space="preserve">（合同内产品必须与投标产品为同品牌同型号）</w:t>
            </w:r>
            <w:r>
              <w:rPr>
                <w:rFonts w:hint="eastAsia"/>
                <w:color w:val="000000"/>
                <w:highlight w:val="none"/>
                <w:lang w:bidi="ar"/>
              </w:rPr>
              <w:t xml:space="preserve">，每提供一份有效合同得</w:t>
            </w:r>
            <w:r>
              <w:rPr>
                <w:rFonts w:hint="eastAsia"/>
                <w:color w:val="000000"/>
                <w:highlight w:val="none"/>
                <w:lang w:val="en-US" w:eastAsia="zh-CN" w:bidi="ar"/>
              </w:rPr>
              <w:t xml:space="preserve">1</w:t>
            </w:r>
            <w:r>
              <w:rPr>
                <w:rFonts w:hint="eastAsia"/>
                <w:color w:val="000000"/>
                <w:highlight w:val="none"/>
                <w:lang w:bidi="ar"/>
              </w:rPr>
              <w:t xml:space="preserve">分，最多得</w:t>
            </w:r>
            <w:r>
              <w:rPr>
                <w:rFonts w:hint="eastAsia"/>
                <w:color w:val="000000"/>
                <w:highlight w:val="none"/>
                <w:lang w:val="en-US" w:eastAsia="zh-CN" w:bidi="ar"/>
              </w:rPr>
              <w:t xml:space="preserve">2</w:t>
            </w:r>
            <w:r>
              <w:rPr>
                <w:rFonts w:hint="eastAsia"/>
                <w:color w:val="000000"/>
                <w:highlight w:val="none"/>
                <w:lang w:bidi="ar"/>
              </w:rPr>
              <w:t xml:space="preserve">分。</w:t>
            </w:r>
            <w:bookmarkEnd w:id="814"/>
            <w:r>
              <w:rPr>
                <w:rFonts w:hint="eastAsia" w:ascii="宋体" w:hAnsi="宋体" w:cs="宋体"/>
                <w:b/>
                <w:color w:val="000000"/>
                <w:sz w:val="24"/>
                <w:szCs w:val="24"/>
                <w:highlight w:val="none"/>
                <w:lang w:val="en-US" w:eastAsia="zh-CN" w:bidi="ar-SA"/>
              </w:rPr>
            </w:r>
            <w:r/>
          </w:p>
        </w:tc>
        <w:tc>
          <w:tcPr>
            <w:tcW w:w="1389" w:type="dxa"/>
            <w:vAlign w:val="center"/>
            <w:textDirection w:val="lrTb"/>
            <w:noWrap w:val="false"/>
          </w:tcPr>
          <w:p>
            <w:pPr>
              <w:pStyle w:val="1131"/>
              <w:numPr>
                <w:ilvl w:val="0"/>
                <w:numId w:val="0"/>
              </w:numPr>
              <w:spacing w:before="0" w:beforeAutospacing="0" w:after="0" w:afterAutospacing="0" w:line="360" w:lineRule="exact"/>
              <w:widowControl w:val="off"/>
              <w:rPr>
                <w:rFonts w:hint="eastAsia" w:ascii="宋体" w:hAnsi="宋体" w:eastAsia="宋体" w:cs="宋体"/>
                <w:color w:val="000000"/>
                <w:highlight w:val="none"/>
                <w:lang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highlight w:val="none"/>
                <w:lang w:bidi="ar"/>
              </w:rPr>
              <w:t xml:space="preserve">提供合同复印件</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eastAsia="zh-CN" w:bidi="ar"/>
              </w:rPr>
            </w:r>
            <w:r/>
          </w:p>
          <w:p>
            <w:pPr>
              <w:pStyle w:val="1131"/>
              <w:numPr>
                <w:ilvl w:val="0"/>
                <w:numId w:val="0"/>
              </w:numPr>
              <w:spacing w:before="0" w:beforeAutospacing="0" w:after="0" w:afterAutospacing="0" w:line="360" w:lineRule="exact"/>
              <w:widowControl w:val="off"/>
              <w:rPr>
                <w:rFonts w:hint="eastAsia" w:ascii="宋体" w:hAnsi="宋体" w:eastAsia="宋体" w:cs="宋体"/>
                <w:color w:val="000000"/>
                <w:highlight w:val="none"/>
                <w:lang w:val="en-US" w:eastAsia="zh-CN"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highlight w:val="none"/>
                <w:lang w:val="en-US" w:eastAsia="zh-CN" w:bidi="ar"/>
              </w:rPr>
              <w:t xml:space="preserve">时间以合同签订时间为准；</w:t>
            </w:r>
            <w:r>
              <w:rPr>
                <w:rFonts w:hint="eastAsia" w:ascii="宋体" w:hAnsi="宋体" w:eastAsia="宋体" w:cs="宋体"/>
                <w:color w:val="000000"/>
                <w:highlight w:val="none"/>
                <w:lang w:val="en-US" w:eastAsia="zh-CN" w:bidi="ar"/>
              </w:rPr>
            </w:r>
            <w:r/>
          </w:p>
          <w:p>
            <w:pPr>
              <w:pStyle w:val="1131"/>
              <w:spacing w:before="0" w:beforeAutospacing="0" w:after="0" w:afterAutospacing="0" w:line="360" w:lineRule="exact"/>
              <w:widowControl w:val="off"/>
              <w:rPr>
                <w:rFonts w:hint="eastAsia" w:ascii="宋体" w:hAnsi="宋体" w:cs="宋体"/>
                <w:color w:val="000000"/>
                <w:sz w:val="24"/>
                <w:highlight w:val="none"/>
                <w:lang w:val="en-US" w:eastAsia="zh-CN" w:bidi="ar"/>
              </w:rPr>
            </w:pPr>
            <w:r>
              <w:rPr>
                <w:rFonts w:hint="eastAsia" w:ascii="宋体" w:hAnsi="宋体" w:eastAsia="宋体" w:cs="宋体"/>
                <w:color w:val="000000"/>
                <w:highlight w:val="none"/>
                <w:lang w:val="en-US" w:eastAsia="zh-CN" w:bidi="ar"/>
              </w:rPr>
              <w:t xml:space="preserve">3、合同甲方应为最终实际使用合同标的的一方。</w:t>
            </w:r>
            <w:r>
              <w:rPr>
                <w:rFonts w:hint="eastAsia" w:ascii="宋体" w:hAnsi="宋体" w:cs="宋体"/>
                <w:color w:val="000000"/>
                <w:sz w:val="24"/>
                <w:highlight w:val="none"/>
                <w:lang w:val="en-US" w:eastAsia="zh-CN" w:bidi="ar"/>
              </w:rPr>
            </w:r>
            <w:r/>
          </w:p>
        </w:tc>
      </w:tr>
      <w:tr>
        <w:trPr>
          <w:trHeight w:val="170"/>
        </w:trPr>
        <w:tc>
          <w:tcPr>
            <w:tcW w:w="45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质保期</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2</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投标产品的免费</w:t>
            </w:r>
            <w:r>
              <w:rPr>
                <w:rFonts w:hint="eastAsia"/>
                <w:color w:val="000000"/>
                <w:highlight w:val="none"/>
                <w:lang w:bidi="ar"/>
              </w:rPr>
              <w:t xml:space="preserve">质保期</w:t>
            </w:r>
            <w:r>
              <w:rPr>
                <w:rFonts w:hint="eastAsia"/>
                <w:color w:val="000000"/>
                <w:highlight w:val="none"/>
                <w:lang w:bidi="ar"/>
              </w:rPr>
              <w:t xml:space="preserve">满足招标文件要求的基础上，免费</w:t>
            </w:r>
            <w:r>
              <w:rPr>
                <w:rFonts w:hint="eastAsia"/>
                <w:color w:val="000000"/>
                <w:highlight w:val="none"/>
                <w:lang w:bidi="ar"/>
              </w:rPr>
              <w:t xml:space="preserve">质保期</w:t>
            </w:r>
            <w:r>
              <w:rPr>
                <w:rFonts w:hint="eastAsia"/>
                <w:color w:val="000000"/>
                <w:highlight w:val="none"/>
                <w:lang w:bidi="ar"/>
              </w:rPr>
              <w:t xml:space="preserve">延长1年得</w:t>
            </w:r>
            <w:r>
              <w:rPr>
                <w:rFonts w:hint="eastAsia"/>
                <w:color w:val="000000"/>
                <w:highlight w:val="none"/>
                <w:lang w:val="en-US" w:eastAsia="zh-CN" w:bidi="ar"/>
              </w:rPr>
              <w:t xml:space="preserve">1</w:t>
            </w:r>
            <w:r>
              <w:rPr>
                <w:rFonts w:hint="eastAsia"/>
                <w:color w:val="000000"/>
                <w:highlight w:val="none"/>
                <w:lang w:bidi="ar"/>
              </w:rPr>
              <w:t xml:space="preserve">分,最多得2分。</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提供服务承诺书</w:t>
            </w:r>
            <w:r>
              <w:rPr>
                <w:rFonts w:hint="eastAsia" w:ascii="宋体" w:hAnsi="宋体" w:cs="宋体"/>
                <w:color w:val="000000"/>
                <w:sz w:val="24"/>
                <w:szCs w:val="24"/>
                <w:highlight w:val="none"/>
                <w:lang w:val="en-US" w:eastAsia="zh-CN" w:bidi="ar-SA"/>
              </w:rPr>
            </w:r>
            <w:r/>
          </w:p>
        </w:tc>
      </w:tr>
      <w:tr>
        <w:trPr>
          <w:trHeight w:val="170"/>
        </w:trPr>
        <w:tc>
          <w:tcPr>
            <w:tcW w:w="453" w:type="dxa"/>
            <w:vAlign w:val="center"/>
            <w:textDirection w:val="lrTb"/>
            <w:noWrap w:val="false"/>
          </w:tcPr>
          <w:p>
            <w:pPr>
              <w:pStyle w:val="107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736"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szCs w:val="24"/>
                <w:highlight w:val="none"/>
                <w:lang w:val="en-US" w:eastAsia="zh-CN" w:bidi="ar-SA"/>
              </w:rPr>
            </w:r>
            <w:r/>
          </w:p>
        </w:tc>
        <w:tc>
          <w:tcPr>
            <w:tcW w:w="475" w:type="dxa"/>
            <w:vAlign w:val="center"/>
            <w:textDirection w:val="lrTb"/>
            <w:noWrap w:val="false"/>
          </w:tcPr>
          <w:p>
            <w:pPr>
              <w:pStyle w:val="1070"/>
              <w:ind w:firstLine="28"/>
              <w:jc w:val="center"/>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lang w:bidi="ar"/>
              </w:rPr>
              <w:t xml:space="preserve">1</w:t>
            </w:r>
            <w:r>
              <w:rPr>
                <w:rFonts w:hint="eastAsia" w:ascii="宋体" w:hAnsi="宋体" w:cs="宋体"/>
                <w:color w:val="000000"/>
                <w:sz w:val="24"/>
                <w:szCs w:val="24"/>
                <w:highlight w:val="none"/>
                <w:lang w:val="en-US" w:eastAsia="zh-CN" w:bidi="ar-SA"/>
              </w:rPr>
            </w:r>
            <w:r/>
          </w:p>
        </w:tc>
        <w:tc>
          <w:tcPr>
            <w:tcW w:w="1944" w:type="dxa"/>
            <w:vAlign w:val="center"/>
            <w:textDirection w:val="lrTb"/>
            <w:noWrap w:val="false"/>
          </w:tcPr>
          <w:p>
            <w:pPr>
              <w:pStyle w:val="1131"/>
              <w:spacing w:before="0" w:beforeAutospacing="0" w:after="0" w:afterAutospacing="0" w:line="360" w:lineRule="exact"/>
              <w:widowControl w:val="off"/>
              <w:rPr>
                <w:rFonts w:hint="eastAsia" w:ascii="宋体" w:hAnsi="宋体" w:cs="宋体"/>
                <w:color w:val="000000"/>
                <w:sz w:val="24"/>
                <w:szCs w:val="24"/>
                <w:highlight w:val="none"/>
                <w:lang w:val="en-US" w:eastAsia="zh-CN" w:bidi="ar-SA"/>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ascii="宋体" w:hAnsi="宋体" w:cs="宋体"/>
                <w:color w:val="000000"/>
                <w:sz w:val="24"/>
                <w:szCs w:val="24"/>
                <w:highlight w:val="none"/>
                <w:lang w:val="en-US" w:eastAsia="zh-CN" w:bidi="ar-SA"/>
              </w:rPr>
            </w:r>
            <w:r/>
          </w:p>
        </w:tc>
        <w:tc>
          <w:tcPr>
            <w:tcW w:w="1389" w:type="dxa"/>
            <w:vAlign w:val="center"/>
            <w:textDirection w:val="lrTb"/>
            <w:noWrap w:val="false"/>
          </w:tcPr>
          <w:p>
            <w:pPr>
              <w:pStyle w:val="1070"/>
              <w:spacing w:line="360" w:lineRule="auto"/>
              <w:widowControl/>
              <w:tabs>
                <w:tab w:val="left" w:pos="1200" w:leader="none"/>
              </w:tabs>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r>
            <w:r/>
          </w:p>
        </w:tc>
      </w:tr>
      <w:tr>
        <w:trPr>
          <w:trHeight w:val="170"/>
        </w:trPr>
        <w:tc>
          <w:tcPr>
            <w:gridSpan w:val="2"/>
            <w:tcW w:w="2210"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70"/>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5" w:type="dxa"/>
            <w:vAlign w:val="center"/>
            <w:textDirection w:val="lrTb"/>
            <w:noWrap w:val="false"/>
          </w:tcPr>
          <w:p>
            <w:pPr>
              <w:pStyle w:val="1070"/>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0"/>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5" w:name="_Toc99301424"/>
      <w:r>
        <w:rPr>
          <w:rFonts w:ascii="宋体" w:hAnsi="宋体"/>
          <w:b/>
          <w:color w:val="000000"/>
          <w:sz w:val="36"/>
          <w:szCs w:val="36"/>
          <w:highlight w:val="none"/>
        </w:rPr>
        <w:t xml:space="preserve">第五章   采购需求</w:t>
      </w:r>
      <w:bookmarkEnd w:id="815"/>
      <w:r>
        <w:rPr>
          <w:rFonts w:ascii="宋体" w:hAnsi="宋体"/>
          <w:b/>
          <w:color w:val="000000"/>
          <w:sz w:val="36"/>
          <w:szCs w:val="36"/>
          <w:highlight w:val="none"/>
        </w:rPr>
      </w:r>
      <w:r/>
    </w:p>
    <w:p>
      <w:pPr>
        <w:pStyle w:val="1070"/>
        <w:contextualSpacing/>
        <w:spacing w:line="360" w:lineRule="auto"/>
        <w:rPr>
          <w:rFonts w:ascii="宋体" w:hAnsi="宋体"/>
          <w:color w:val="000000"/>
          <w:sz w:val="24"/>
          <w:highlight w:val="none"/>
        </w:rPr>
      </w:pPr>
      <w:r>
        <w:rPr>
          <w:rFonts w:ascii="宋体" w:hAnsi="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本项目为常州市</w:t>
      </w:r>
      <w:r>
        <w:rPr>
          <w:rFonts w:hint="eastAsia" w:ascii="宋体" w:hAnsi="宋体" w:cs="宋体"/>
          <w:color w:val="000000"/>
          <w:sz w:val="24"/>
          <w:highlight w:val="none"/>
          <w:lang w:val="en-US" w:eastAsia="zh-CN" w:bidi="ar"/>
        </w:rPr>
        <w:t xml:space="preserve">妇幼保健院全身超</w:t>
      </w:r>
      <w:r>
        <w:rPr>
          <w:rFonts w:hint="eastAsia" w:ascii="宋体" w:hAnsi="宋体" w:cs="宋体"/>
          <w:color w:val="000000"/>
          <w:sz w:val="24"/>
          <w:highlight w:val="none"/>
          <w:lang w:bidi="ar"/>
        </w:rPr>
        <w:t xml:space="preserve">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 诉。一旦出现侵权，一律由投标人承担全部责任。同时，投标人对采购人采购的货物所涉及的技术、产能等信息负有保密义务。</w:t>
      </w:r>
      <w:r>
        <w:rPr>
          <w:rFonts w:hint="eastAsia" w:ascii="宋体" w:hAnsi="宋体" w:cs="宋体"/>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人应为该项目充分准备相关服务方案：①项目实施方案，包括但不限于投标人如何在成交后有效地组织技术和人员力量，按时保质地完成供货、安装验收等。②培训方案，包括培训步骤、培训计划、培训记录表等。③售后服务管理体系方案，包括售后服务人员、服务机制、响应时间、故障解决等内容的合理性和可行性。④质保期满后维保收费及内容比较，包括但不限于零配件和维修备品备件的供应保障和维保期满后维保收费及维保方案内容。⑤投标设备整体配置选型情况，包括但不限于产品</w:t>
      </w:r>
      <w:r>
        <w:rPr>
          <w:rFonts w:hint="eastAsia" w:ascii="宋体" w:hAnsi="宋体" w:cs="宋体"/>
          <w:color w:val="000000"/>
          <w:sz w:val="24"/>
          <w:highlight w:val="none"/>
          <w:lang w:val="zh-CN" w:bidi="ar"/>
        </w:rPr>
        <w:t xml:space="preserve">配置选型、与项目需求的吻合度等。</w:t>
      </w:r>
      <w:r>
        <w:rPr>
          <w:rFonts w:hint="eastAsia" w:ascii="宋体" w:hAnsi="宋体" w:cs="宋体"/>
          <w:color w:val="000000"/>
          <w:sz w:val="24"/>
          <w:highlight w:val="none"/>
          <w:lang w:val="en-US" w:eastAsia="zh-CN" w:bidi="ar"/>
        </w:rPr>
        <w:t xml:space="preserve">⑥</w:t>
      </w:r>
      <w:r>
        <w:rPr>
          <w:rFonts w:hint="eastAsia" w:ascii="宋体" w:hAnsi="宋体" w:eastAsia="宋体" w:cs="宋体"/>
          <w:color w:val="000000"/>
          <w:sz w:val="24"/>
          <w:highlight w:val="none"/>
          <w:lang w:bidi="ar"/>
        </w:rPr>
        <w:t xml:space="preserve">产品质量保障方案</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包括</w:t>
      </w:r>
      <w:r>
        <w:rPr>
          <w:rFonts w:hint="eastAsia" w:ascii="宋体" w:hAnsi="宋体" w:eastAsia="宋体" w:cs="宋体"/>
          <w:color w:val="000000"/>
          <w:sz w:val="24"/>
          <w:highlight w:val="none"/>
          <w:lang w:val="zh-CN" w:bidi="ar"/>
        </w:rPr>
        <w:t xml:space="preserve">货物质量保证</w:t>
      </w:r>
      <w:r>
        <w:rPr>
          <w:rFonts w:hint="eastAsia" w:ascii="宋体" w:hAnsi="宋体" w:eastAsia="宋体" w:cs="宋体"/>
          <w:color w:val="000000"/>
          <w:sz w:val="24"/>
          <w:highlight w:val="none"/>
          <w:lang w:val="zh-CN" w:eastAsia="zh-CN" w:bidi="ar"/>
        </w:rPr>
        <w:t xml:space="preserve">、</w:t>
      </w:r>
      <w:r>
        <w:rPr>
          <w:rFonts w:hint="eastAsia" w:ascii="宋体" w:hAnsi="宋体" w:eastAsia="宋体" w:cs="宋体"/>
          <w:color w:val="000000"/>
          <w:sz w:val="24"/>
          <w:highlight w:val="none"/>
          <w:lang w:val="zh-CN" w:bidi="ar"/>
        </w:rPr>
        <w:t xml:space="preserve">货物检验标准、货物来源渠道等</w:t>
      </w:r>
      <w:r>
        <w:rPr>
          <w:rFonts w:hint="eastAsia" w:ascii="宋体" w:hAnsi="宋体" w:eastAsia="宋体" w:cs="宋体"/>
          <w:color w:val="000000"/>
          <w:sz w:val="24"/>
          <w:highlight w:val="none"/>
          <w:lang w:val="zh-CN" w:eastAsia="zh-CN" w:bidi="ar"/>
        </w:rPr>
        <w:t xml:space="preserve">。</w:t>
      </w:r>
      <w:r>
        <w:rPr>
          <w:rFonts w:hint="eastAsia" w:ascii="宋体" w:hAnsi="宋体" w:cs="宋体"/>
          <w:color w:val="000000"/>
          <w:sz w:val="24"/>
          <w:highlight w:val="none"/>
          <w:lang w:bidi="ar"/>
        </w:rPr>
      </w:r>
      <w:r/>
    </w:p>
    <w:p>
      <w:pPr>
        <w:pStyle w:val="1164"/>
        <w:contextualSpacing/>
        <w:ind w:left="-2" w:firstLine="480"/>
        <w:jc w:val="left"/>
        <w:spacing w:line="360" w:lineRule="auto"/>
        <w:tabs>
          <w:tab w:val="left" w:pos="567" w:leader="none"/>
        </w:tabs>
        <w:rPr>
          <w:rFonts w:ascii="宋体" w:hAnsi="宋体"/>
          <w:color w:val="000000"/>
          <w:sz w:val="24"/>
          <w:szCs w:val="24"/>
          <w:highlight w:val="none"/>
        </w:rPr>
      </w:pPr>
      <w:r>
        <w:rPr>
          <w:rFonts w:hint="eastAsia" w:ascii="宋体" w:hAnsi="宋体" w:cs="宋体"/>
          <w:b/>
          <w:color w:val="000000"/>
          <w:sz w:val="24"/>
          <w:highlight w:val="none"/>
          <w:lang w:bidi="ar"/>
        </w:rPr>
        <w:t xml:space="preserve">三、采购清单</w:t>
      </w:r>
      <w:r>
        <w:rPr>
          <w:rFonts w:ascii="宋体" w:hAnsi="宋体"/>
          <w:color w:val="000000"/>
          <w:sz w:val="24"/>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2560"/>
        <w:gridCol w:w="1033"/>
        <w:gridCol w:w="4476"/>
      </w:tblGrid>
      <w:tr>
        <w:trPr>
          <w:trHeight w:val="170"/>
        </w:trPr>
        <w:tc>
          <w:tcPr>
            <w:tcW w:w="6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包号</w:t>
            </w:r>
            <w:r>
              <w:rPr>
                <w:rFonts w:hint="eastAsia" w:ascii="宋体" w:hAnsi="宋体" w:cs="宋体"/>
                <w:color w:val="000000"/>
                <w:sz w:val="24"/>
                <w:highlight w:val="none"/>
              </w:rPr>
            </w:r>
            <w:r/>
          </w:p>
        </w:tc>
        <w:tc>
          <w:tcPr>
            <w:tcW w:w="1378"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设备名称</w:t>
            </w:r>
            <w:r>
              <w:rPr>
                <w:rFonts w:hint="eastAsia" w:ascii="宋体" w:hAnsi="宋体" w:cs="宋体"/>
                <w:color w:val="000000"/>
                <w:sz w:val="24"/>
                <w:highlight w:val="none"/>
              </w:rPr>
            </w:r>
            <w:r/>
          </w:p>
        </w:tc>
        <w:tc>
          <w:tcPr>
            <w:tcW w:w="5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数量</w:t>
            </w:r>
            <w:r>
              <w:rPr>
                <w:rFonts w:hint="eastAsia" w:ascii="宋体" w:hAnsi="宋体" w:cs="宋体"/>
                <w:color w:val="000000"/>
                <w:sz w:val="24"/>
                <w:highlight w:val="none"/>
              </w:rPr>
            </w:r>
            <w:r/>
          </w:p>
        </w:tc>
        <w:tc>
          <w:tcPr>
            <w:tcW w:w="2409"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备注</w:t>
            </w:r>
            <w:r>
              <w:rPr>
                <w:rFonts w:hint="eastAsia" w:ascii="宋体" w:hAnsi="宋体" w:cs="宋体"/>
                <w:color w:val="000000"/>
                <w:sz w:val="24"/>
                <w:highlight w:val="none"/>
              </w:rPr>
            </w:r>
            <w:r/>
          </w:p>
        </w:tc>
      </w:tr>
      <w:tr>
        <w:trPr>
          <w:trHeight w:val="170"/>
        </w:trPr>
        <w:tc>
          <w:tcPr>
            <w:tcW w:w="6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378" w:type="dxa"/>
            <w:vAlign w:val="center"/>
            <w:textDirection w:val="lrTb"/>
            <w:noWrap w:val="false"/>
          </w:tcPr>
          <w:p>
            <w:pPr>
              <w:pStyle w:val="1070"/>
              <w:jc w:val="center"/>
              <w:spacing w:line="3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全身超</w:t>
            </w:r>
            <w:r>
              <w:rPr>
                <w:rFonts w:hint="eastAsia" w:ascii="宋体" w:hAnsi="宋体" w:eastAsia="宋体" w:cs="宋体"/>
                <w:color w:val="000000"/>
                <w:sz w:val="24"/>
                <w:highlight w:val="none"/>
                <w:lang w:eastAsia="zh-CN"/>
              </w:rPr>
            </w:r>
            <w:r/>
          </w:p>
        </w:tc>
        <w:tc>
          <w:tcPr>
            <w:tcW w:w="556" w:type="dxa"/>
            <w:vAlign w:val="center"/>
            <w:textDirection w:val="lrTb"/>
            <w:noWrap w:val="false"/>
          </w:tcPr>
          <w:p>
            <w:pPr>
              <w:pStyle w:val="1070"/>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rPr>
            </w:r>
            <w:r/>
          </w:p>
        </w:tc>
        <w:tc>
          <w:tcPr>
            <w:tcW w:w="2409" w:type="dxa"/>
            <w:vAlign w:val="center"/>
            <w:textDirection w:val="lrTb"/>
            <w:noWrap w:val="false"/>
          </w:tcPr>
          <w:p>
            <w:pPr>
              <w:pStyle w:val="1070"/>
              <w:jc w:val="center"/>
              <w:spacing w:line="36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bidi="ar"/>
              </w:rPr>
              <w:t xml:space="preserve">不接受进口产品</w:t>
            </w:r>
            <w:r>
              <w:rPr>
                <w:rFonts w:ascii="宋体" w:hAnsi="宋体" w:eastAsia="宋体" w:cs="宋体"/>
                <w:color w:val="000000"/>
                <w:sz w:val="24"/>
                <w:highlight w:val="none"/>
                <w:lang w:val="en-US" w:eastAsia="zh-CN"/>
              </w:rPr>
            </w:r>
            <w:r/>
          </w:p>
        </w:tc>
      </w:tr>
    </w:tbl>
    <w:p>
      <w:pPr>
        <w:pStyle w:val="1164"/>
        <w:contextualSpacing/>
        <w:ind w:left="-2" w:firstLine="480"/>
        <w:jc w:val="left"/>
        <w:spacing w:line="360" w:lineRule="auto"/>
        <w:tabs>
          <w:tab w:val="left" w:pos="567" w:leader="none"/>
        </w:tabs>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四、技术要求</w:t>
      </w:r>
      <w:r>
        <w:rPr>
          <w:rFonts w:hint="eastAsia" w:ascii="宋体" w:hAnsi="宋体" w:eastAsia="宋体" w:cs="宋体"/>
          <w:b/>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（一）用途：主要用于腹部、产科、妇科、心脏、小器官、血管、泌尿、儿科、神经、急症等方面的临床诊断工作，具备持续升级能力，能满足开展新的临床应用需求。</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（二）主要技术规格及系统概述：</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2.1主机成像系统：</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2.1.1高分辨率液晶显示器≥23英寸，屏幕亮度和对比度数字可调，显示器亮度可根据环境光自动调节，可上下左右任意旋转</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▲2.1.2操作面板具备防眩光彩色触摸屏≥15英寸。</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▲2.1.3触摸屏支持手势控制，可自定义手势功能（如冻结、存图、打印等）</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2.1.4控制面板全空间悬浮式调节，可同时旋转和升降，前后拉升</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w:t>
      </w:r>
      <w:r>
        <w:rPr>
          <w:rFonts w:hint="eastAsia" w:ascii="宋体" w:hAnsi="宋体" w:cs="宋体"/>
          <w:b w:val="0"/>
          <w:bCs/>
          <w:color w:val="000000"/>
          <w:sz w:val="24"/>
          <w:highlight w:val="none"/>
          <w:lang w:val="en-US" w:eastAsia="zh-CN" w:bidi="ar"/>
        </w:rPr>
        <w:t xml:space="preserve">5</w:t>
      </w:r>
      <w:r>
        <w:rPr>
          <w:rFonts w:hint="eastAsia" w:ascii="宋体" w:hAnsi="宋体" w:cs="宋体"/>
          <w:b w:val="0"/>
          <w:bCs/>
          <w:color w:val="000000"/>
          <w:sz w:val="24"/>
          <w:highlight w:val="none"/>
          <w:lang w:bidi="ar"/>
        </w:rPr>
        <w:t xml:space="preserve">解剖M型技术≥3条取样线，可360度任意旋转，可在实时和冻结的二维图像上获取解剖M图像。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w:t>
      </w:r>
      <w:r>
        <w:rPr>
          <w:rFonts w:hint="eastAsia" w:ascii="宋体" w:hAnsi="宋体" w:cs="宋体"/>
          <w:b w:val="0"/>
          <w:bCs/>
          <w:color w:val="000000"/>
          <w:sz w:val="24"/>
          <w:highlight w:val="none"/>
          <w:lang w:val="en-US" w:eastAsia="zh-CN" w:bidi="ar"/>
        </w:rPr>
        <w:t xml:space="preserve">6</w:t>
      </w:r>
      <w:r>
        <w:rPr>
          <w:rFonts w:hint="eastAsia" w:ascii="宋体" w:hAnsi="宋体" w:cs="宋体"/>
          <w:b w:val="0"/>
          <w:bCs/>
          <w:color w:val="000000"/>
          <w:sz w:val="24"/>
          <w:highlight w:val="none"/>
          <w:lang w:bidi="ar"/>
        </w:rPr>
        <w:t xml:space="preserve">斑点噪声抑制技术，在二维图像，造影成像模式及三维成像下可支持≥7档调节。</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w:t>
      </w:r>
      <w:r>
        <w:rPr>
          <w:rFonts w:hint="eastAsia" w:ascii="宋体" w:hAnsi="宋体" w:cs="宋体"/>
          <w:b w:val="0"/>
          <w:bCs/>
          <w:color w:val="000000"/>
          <w:sz w:val="24"/>
          <w:highlight w:val="none"/>
          <w:lang w:val="en-US" w:eastAsia="zh-CN" w:bidi="ar"/>
        </w:rPr>
        <w:t xml:space="preserve">7</w:t>
      </w:r>
      <w:r>
        <w:rPr>
          <w:rFonts w:hint="eastAsia" w:ascii="宋体" w:hAnsi="宋体" w:cs="宋体"/>
          <w:b w:val="0"/>
          <w:bCs/>
          <w:color w:val="000000"/>
          <w:sz w:val="24"/>
          <w:highlight w:val="none"/>
          <w:lang w:bidi="ar"/>
        </w:rPr>
        <w:t xml:space="preserve">穿刺针增强技术，凸阵和线阵探头均可支持，具有双屏实时对比显示（增强前后效果），并支持自适应校正角度</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w:t>
      </w:r>
      <w:r>
        <w:rPr>
          <w:rFonts w:hint="eastAsia" w:ascii="宋体" w:hAnsi="宋体" w:cs="宋体"/>
          <w:b w:val="0"/>
          <w:bCs/>
          <w:color w:val="000000"/>
          <w:sz w:val="24"/>
          <w:highlight w:val="none"/>
          <w:lang w:val="en-US" w:eastAsia="zh-CN" w:bidi="ar"/>
        </w:rPr>
        <w:t xml:space="preserve">8</w:t>
      </w:r>
      <w:r>
        <w:rPr>
          <w:rFonts w:hint="eastAsia" w:ascii="宋体" w:hAnsi="宋体" w:cs="宋体"/>
          <w:b w:val="0"/>
          <w:bCs/>
          <w:color w:val="000000"/>
          <w:sz w:val="24"/>
          <w:highlight w:val="none"/>
          <w:lang w:bidi="ar"/>
        </w:rPr>
        <w:t xml:space="preserve">具备腹部、妇科、产科、浅表、心脏模式自动工作流协议，支持定制化模板，在检查过程中可按照协议自动注释，自动标记体位图，自动切换图像模式等</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w:t>
      </w:r>
      <w:r>
        <w:rPr>
          <w:rFonts w:hint="eastAsia" w:ascii="宋体" w:hAnsi="宋体" w:cs="宋体"/>
          <w:b w:val="0"/>
          <w:bCs/>
          <w:color w:val="000000"/>
          <w:sz w:val="24"/>
          <w:highlight w:val="none"/>
          <w:lang w:val="en-US" w:eastAsia="zh-CN" w:bidi="ar"/>
        </w:rPr>
        <w:t xml:space="preserve">9</w:t>
      </w:r>
      <w:r>
        <w:rPr>
          <w:rFonts w:hint="eastAsia" w:ascii="宋体" w:hAnsi="宋体" w:cs="宋体"/>
          <w:b w:val="0"/>
          <w:bCs/>
          <w:color w:val="000000"/>
          <w:sz w:val="24"/>
          <w:highlight w:val="none"/>
          <w:lang w:bidi="ar"/>
        </w:rPr>
        <w:t xml:space="preserve">支持超声远程会诊系统</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w:t>
      </w:r>
      <w:r>
        <w:rPr>
          <w:rFonts w:hint="eastAsia" w:ascii="宋体" w:hAnsi="宋体" w:cs="宋体"/>
          <w:b w:val="0"/>
          <w:bCs/>
          <w:color w:val="000000"/>
          <w:sz w:val="24"/>
          <w:highlight w:val="none"/>
          <w:lang w:val="en-US" w:eastAsia="zh-CN" w:bidi="ar"/>
        </w:rPr>
        <w:t xml:space="preserve">10</w:t>
      </w:r>
      <w:r>
        <w:rPr>
          <w:rFonts w:hint="eastAsia" w:ascii="宋体" w:hAnsi="宋体" w:cs="宋体"/>
          <w:b w:val="0"/>
          <w:bCs/>
          <w:color w:val="000000"/>
          <w:sz w:val="24"/>
          <w:highlight w:val="none"/>
          <w:lang w:bidi="ar"/>
        </w:rPr>
        <w:t xml:space="preserve">通过网络可在超声主机上一键将动态或静态图像传输至移动应用端群组内，设备已储存患者基本信息后仍可选是否传输患者姓名、检查部位、年龄、性别、检查时间。</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2.1.</w:t>
      </w:r>
      <w:r>
        <w:rPr>
          <w:rFonts w:hint="eastAsia" w:ascii="宋体" w:hAnsi="宋体" w:cs="宋体"/>
          <w:b w:val="0"/>
          <w:bCs/>
          <w:color w:val="000000"/>
          <w:sz w:val="24"/>
          <w:highlight w:val="none"/>
          <w:lang w:val="en-US" w:eastAsia="zh-CN" w:bidi="ar"/>
        </w:rPr>
        <w:t xml:space="preserve">11</w:t>
      </w:r>
      <w:r>
        <w:rPr>
          <w:rFonts w:hint="eastAsia" w:ascii="宋体" w:hAnsi="宋体" w:cs="宋体"/>
          <w:b w:val="0"/>
          <w:bCs/>
          <w:color w:val="000000"/>
          <w:sz w:val="24"/>
          <w:highlight w:val="none"/>
          <w:lang w:bidi="ar"/>
        </w:rPr>
        <w:t xml:space="preserve">要求所投机型为2022年及以后推出最新机型（以NMPA首次注册证书为准）并具备持续升级能力。</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2.2成像技术：</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2.2.1造影成像技术及造影定量分析功能</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1)可支持多种探头：凸阵探头、线阵探头，腔内探头，心脏探头、容积探头</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w:t>
      </w:r>
      <w:r>
        <w:rPr>
          <w:rFonts w:hint="eastAsia" w:ascii="宋体" w:hAnsi="宋体" w:cs="宋体"/>
          <w:b w:val="0"/>
          <w:bCs/>
          <w:color w:val="000000"/>
          <w:sz w:val="24"/>
          <w:highlight w:val="none"/>
          <w:lang w:bidi="ar"/>
        </w:rPr>
        <w:t xml:space="preserve">)支持向后/向前存储</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w:t>
      </w:r>
      <w:r>
        <w:rPr>
          <w:rFonts w:hint="eastAsia" w:ascii="宋体" w:hAnsi="宋体" w:cs="宋体"/>
          <w:b w:val="0"/>
          <w:bCs/>
          <w:color w:val="000000"/>
          <w:sz w:val="24"/>
          <w:highlight w:val="none"/>
          <w:lang w:val="en-US" w:eastAsia="zh-CN" w:bidi="ar"/>
        </w:rPr>
        <w:t xml:space="preserve">3</w:t>
      </w:r>
      <w:r>
        <w:rPr>
          <w:rFonts w:hint="eastAsia" w:ascii="宋体" w:hAnsi="宋体" w:cs="宋体"/>
          <w:b w:val="0"/>
          <w:bCs/>
          <w:color w:val="000000"/>
          <w:sz w:val="24"/>
          <w:highlight w:val="none"/>
          <w:lang w:bidi="ar"/>
        </w:rPr>
        <w:t xml:space="preserve">)造影定量分析：取样点可跟踪感兴趣区运动、提供TIC时间强度曲线分析</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4</w:t>
      </w:r>
      <w:r>
        <w:rPr>
          <w:rFonts w:hint="eastAsia" w:ascii="宋体" w:hAnsi="宋体" w:cs="宋体"/>
          <w:b w:val="0"/>
          <w:bCs/>
          <w:color w:val="000000"/>
          <w:sz w:val="24"/>
          <w:highlight w:val="none"/>
          <w:lang w:bidi="ar"/>
        </w:rPr>
        <w:t xml:space="preserve">)支持左心室造影</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2.2.2应变式弹性成像技术</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1)支持探头：线阵探头、腔内探头、容积探头。</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w:t>
      </w:r>
      <w:r>
        <w:rPr>
          <w:rFonts w:hint="eastAsia" w:ascii="宋体" w:hAnsi="宋体" w:cs="宋体"/>
          <w:b w:val="0"/>
          <w:bCs/>
          <w:color w:val="000000"/>
          <w:sz w:val="24"/>
          <w:highlight w:val="none"/>
          <w:lang w:bidi="ar"/>
        </w:rPr>
        <w:t xml:space="preserve">)具备肿块周边组织弹性定量分析功能</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2.2.3剪切波弹性成像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1)可在线阵、凸阵探头上同时实现应变式弹性及剪切波弹性成像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2</w:t>
      </w:r>
      <w:r>
        <w:rPr>
          <w:rFonts w:hint="eastAsia" w:ascii="宋体" w:hAnsi="宋体" w:cs="宋体"/>
          <w:b w:val="0"/>
          <w:bCs/>
          <w:color w:val="000000"/>
          <w:sz w:val="24"/>
          <w:highlight w:val="none"/>
          <w:lang w:bidi="ar"/>
        </w:rPr>
        <w:t xml:space="preserve">)支持二维实时剪切波和单点式剪切波成像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val="en-US" w:eastAsia="zh-CN" w:bidi="ar"/>
        </w:rPr>
        <w:t xml:space="preserve">3</w:t>
      </w:r>
      <w:r>
        <w:rPr>
          <w:rFonts w:hint="eastAsia" w:ascii="宋体" w:hAnsi="宋体" w:cs="宋体"/>
          <w:b w:val="0"/>
          <w:bCs/>
          <w:color w:val="000000"/>
          <w:sz w:val="24"/>
          <w:highlight w:val="none"/>
          <w:lang w:bidi="ar"/>
        </w:rPr>
        <w:t xml:space="preserve">)实时剪切波弹性成像取样框大小可调，可得到取样框内≥3种定量参数</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2.2.4TDI组织多普勒成像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1)TDI成像模式：彩色速度模式图、能量模式图、频谱模式图、M型模式图</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▲2)TDI组织多普勒定量分析软件：支持运动追踪功能；</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2.2.5组织追踪成像定量分析</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1)二维模式下追踪心肌运动，支持心内膜、心外膜、心肌层三组追踪轨迹</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2)具有组织向量图（箭头显示）和曲线图分析</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2.2.6内置超声教学软件，提供解剖示意图、标准超声图像，同时，支持腹部及心脏各≥5个标准切面的自动识别。</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2.3测量和分析：(B型、M型、D型、彩色模式)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1</w:t>
      </w:r>
      <w:r>
        <w:rPr>
          <w:rFonts w:hint="eastAsia" w:ascii="宋体" w:hAnsi="宋体" w:cs="宋体"/>
          <w:b w:val="0"/>
          <w:bCs/>
          <w:color w:val="000000"/>
          <w:sz w:val="24"/>
          <w:highlight w:val="none"/>
          <w:lang w:bidi="ar"/>
        </w:rPr>
        <w:t xml:space="preserve">全科测量包，自动生成报告：腹部、妇科、产科、心脏、泌尿、小器官、儿科、血管等。</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2</w:t>
      </w:r>
      <w:r>
        <w:rPr>
          <w:rFonts w:hint="eastAsia" w:ascii="宋体" w:hAnsi="宋体" w:cs="宋体"/>
          <w:b w:val="0"/>
          <w:bCs/>
          <w:color w:val="000000"/>
          <w:sz w:val="24"/>
          <w:highlight w:val="none"/>
          <w:lang w:bidi="ar"/>
        </w:rPr>
        <w:t xml:space="preserve">妇科测量软件包：支持二维卵泡自动测量，一键自动分割无回声结构，以不同的颜色区分显示不同位置和大小的无回声结构。</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3</w:t>
      </w:r>
      <w:r>
        <w:rPr>
          <w:rFonts w:hint="eastAsia" w:ascii="宋体" w:hAnsi="宋体" w:cs="宋体"/>
          <w:b w:val="0"/>
          <w:bCs/>
          <w:color w:val="000000"/>
          <w:sz w:val="24"/>
          <w:highlight w:val="none"/>
          <w:lang w:bidi="ar"/>
        </w:rPr>
        <w:t xml:space="preserve">具备专业卵泡评估报告，多项IVF评估指标及发育曲线分析</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4</w:t>
      </w:r>
      <w:r>
        <w:rPr>
          <w:rFonts w:hint="eastAsia" w:ascii="宋体" w:hAnsi="宋体" w:cs="宋体"/>
          <w:b w:val="0"/>
          <w:bCs/>
          <w:color w:val="000000"/>
          <w:sz w:val="24"/>
          <w:highlight w:val="none"/>
          <w:lang w:bidi="ar"/>
        </w:rPr>
        <w:t xml:space="preserve">产科测量软件包：自动产科测量，要求自动测量≥5项胎儿发育评估指标。</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5</w:t>
      </w:r>
      <w:r>
        <w:rPr>
          <w:rFonts w:hint="eastAsia" w:ascii="宋体" w:hAnsi="宋体" w:cs="宋体"/>
          <w:b w:val="0"/>
          <w:bCs/>
          <w:color w:val="000000"/>
          <w:sz w:val="24"/>
          <w:highlight w:val="none"/>
          <w:lang w:bidi="ar"/>
        </w:rPr>
        <w:t xml:space="preserve">自动NT测量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6</w:t>
      </w:r>
      <w:r>
        <w:rPr>
          <w:rFonts w:hint="eastAsia" w:ascii="宋体" w:hAnsi="宋体" w:cs="宋体"/>
          <w:b w:val="0"/>
          <w:bCs/>
          <w:color w:val="000000"/>
          <w:sz w:val="24"/>
          <w:highlight w:val="none"/>
          <w:lang w:bidi="ar"/>
        </w:rPr>
        <w:t xml:space="preserve">心脏测量软件包：心功能自动测量软件,无需ECG可自动识别四腔心、两腔心切面，自动识别心肌边界，并进行自动描迹，无需手动选择切面和手动描记</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7</w:t>
      </w:r>
      <w:r>
        <w:rPr>
          <w:rFonts w:hint="eastAsia" w:ascii="宋体" w:hAnsi="宋体" w:cs="宋体"/>
          <w:b w:val="0"/>
          <w:bCs/>
          <w:color w:val="000000"/>
          <w:sz w:val="24"/>
          <w:highlight w:val="none"/>
          <w:lang w:bidi="ar"/>
        </w:rPr>
        <w:t xml:space="preserve">腹部测量软件包：支持膀胱自动测量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8</w:t>
      </w:r>
      <w:r>
        <w:rPr>
          <w:rFonts w:hint="eastAsia" w:ascii="宋体" w:hAnsi="宋体" w:cs="宋体"/>
          <w:b w:val="0"/>
          <w:bCs/>
          <w:color w:val="000000"/>
          <w:sz w:val="24"/>
          <w:highlight w:val="none"/>
          <w:lang w:bidi="ar"/>
        </w:rPr>
        <w:t xml:space="preserve">自动肝肾比测量 一键自动肝肾器官识别，自动计算肾皮质及肝脏的灰阶比值，方便进行肝脏脂肪变的定量评估</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w:t>
      </w:r>
      <w:r>
        <w:rPr>
          <w:rFonts w:hint="eastAsia" w:ascii="宋体" w:hAnsi="宋体" w:cs="宋体"/>
          <w:b w:val="0"/>
          <w:bCs/>
          <w:color w:val="000000"/>
          <w:sz w:val="24"/>
          <w:highlight w:val="none"/>
          <w:lang w:val="en-US" w:eastAsia="zh-CN" w:bidi="ar"/>
        </w:rPr>
        <w:t xml:space="preserve">9</w:t>
      </w:r>
      <w:r>
        <w:rPr>
          <w:rFonts w:hint="eastAsia" w:ascii="宋体" w:hAnsi="宋体" w:cs="宋体"/>
          <w:b w:val="0"/>
          <w:bCs/>
          <w:color w:val="000000"/>
          <w:sz w:val="24"/>
          <w:highlight w:val="none"/>
          <w:lang w:bidi="ar"/>
        </w:rPr>
        <w:t xml:space="preserve">血管测量软件包：IMT血管内中膜自动测量，具备IMT评估曲线分析</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2.3.1</w:t>
      </w:r>
      <w:r>
        <w:rPr>
          <w:rFonts w:hint="eastAsia" w:ascii="宋体" w:hAnsi="宋体" w:cs="宋体"/>
          <w:b w:val="0"/>
          <w:bCs/>
          <w:color w:val="000000"/>
          <w:sz w:val="24"/>
          <w:highlight w:val="none"/>
          <w:lang w:val="en-US" w:eastAsia="zh-CN" w:bidi="ar"/>
        </w:rPr>
        <w:t xml:space="preserve">0</w:t>
      </w:r>
      <w:r>
        <w:rPr>
          <w:rFonts w:hint="eastAsia" w:ascii="宋体" w:hAnsi="宋体" w:cs="宋体"/>
          <w:b w:val="0"/>
          <w:bCs/>
          <w:color w:val="000000"/>
          <w:sz w:val="24"/>
          <w:highlight w:val="none"/>
          <w:lang w:bidi="ar"/>
        </w:rPr>
        <w:t xml:space="preserve">支持颈动脉血管内中膜自动实时测量,自动获取6组IMT内膜厚度值,并实时更新</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▲2.3.1</w:t>
      </w:r>
      <w:r>
        <w:rPr>
          <w:rFonts w:hint="eastAsia" w:ascii="宋体" w:hAnsi="宋体" w:cs="宋体"/>
          <w:b w:val="0"/>
          <w:bCs/>
          <w:color w:val="000000"/>
          <w:sz w:val="24"/>
          <w:highlight w:val="none"/>
          <w:lang w:val="en-US" w:eastAsia="zh-CN" w:bidi="ar"/>
        </w:rPr>
        <w:t xml:space="preserve">1</w:t>
      </w:r>
      <w:r>
        <w:rPr>
          <w:rFonts w:hint="eastAsia" w:ascii="宋体" w:hAnsi="宋体" w:cs="宋体"/>
          <w:b w:val="0"/>
          <w:bCs/>
          <w:color w:val="000000"/>
          <w:sz w:val="24"/>
          <w:highlight w:val="none"/>
          <w:lang w:bidi="ar"/>
        </w:rPr>
        <w:t xml:space="preserve">小儿髋关节自动测量功能，可一键自动计算α角,β角，自动进行临床分型</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2.4图像存储(电影)回放重显及病案管理单元</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2.4.1硬盘≥1T，图像存储，电影回放：≥150秒</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2.4.2多种导出图像格式：动态图像、静态图像以PC格式直接导出。导出、备份图像数据资料同时，可进行实时检查，不影响检查操作</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2.4.3支持向后存储和向前存储，时间长度可预置，向后存储≥6分钟的电影，对剪接和编辑的电影图像可多次存储和多次编辑；图像和电影均可以实时扫描、冻结状态下直接存储，并且具有独立的存储功能键</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2.5连通性要求：</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2.5.1支持网络连接，能开放DICOM 3.0接口满足任何厂家PACS联网传输，并可支持DICOM结构化报告</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2.5.2支持移动设备无线传输，一键传输图片到智能手机终端或PC端。</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（三）系统技术参数及要求：</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3.1系统通用功能：</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▲3.1.1主机探头接口≥5个，大小一致，全激活、相互通用。</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3.2探头规格</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▲3.2.1探头配置包括：腔内探头，单晶腹部凸阵探头</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3.2.2二维、谐波、彩色及频谱多普勒模式分别独立变频，≥3段；</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▲3.2.3腔内探头阵元数≥192</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3.2.4腔内探头频率：3.0-12.0MHz</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▲3.2.5单晶腹部凸阵探头频率：1.2-6.0MHz</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3.3二维显像主要参数：</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3.3.1成像速度：相控阵探头，18CM深度时, 全视野，帧率≥55帧/秒；凸阵探头，18CM深度时, 全视野， 帧率≥38帧/秒</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3.3.</w:t>
      </w:r>
      <w:r>
        <w:rPr>
          <w:rFonts w:hint="eastAsia" w:ascii="宋体" w:hAnsi="宋体" w:cs="宋体"/>
          <w:b w:val="0"/>
          <w:bCs/>
          <w:color w:val="000000"/>
          <w:sz w:val="24"/>
          <w:highlight w:val="none"/>
          <w:lang w:val="en-US" w:eastAsia="zh-CN" w:bidi="ar"/>
        </w:rPr>
        <w:t xml:space="preserve">2 </w:t>
      </w:r>
      <w:r>
        <w:rPr>
          <w:rFonts w:hint="eastAsia" w:ascii="宋体" w:hAnsi="宋体" w:cs="宋体"/>
          <w:b w:val="0"/>
          <w:bCs/>
          <w:color w:val="000000"/>
          <w:sz w:val="24"/>
          <w:highlight w:val="none"/>
          <w:lang w:bidi="ar"/>
        </w:rPr>
        <w:t xml:space="preserve">TGC: ≥8段，LGC: ≥8段</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3.4频谱多普勒：</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3.4.1显示模式：脉冲多普勒、高脉冲重复频率、连续多普勒</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3.4.2最大测量速度：≥7m/s（连续多普勒速度: ≥35m/s）</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3.4.3最低测量速度：≤14cm/s</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3.4.</w:t>
      </w:r>
      <w:r>
        <w:rPr>
          <w:rFonts w:hint="eastAsia" w:ascii="宋体" w:hAnsi="宋体" w:cs="宋体"/>
          <w:b w:val="0"/>
          <w:bCs/>
          <w:color w:val="000000"/>
          <w:sz w:val="24"/>
          <w:highlight w:val="none"/>
          <w:lang w:val="en-US" w:eastAsia="zh-CN" w:bidi="ar"/>
        </w:rPr>
        <w:t xml:space="preserve">4</w:t>
      </w:r>
      <w:r>
        <w:rPr>
          <w:rFonts w:hint="eastAsia" w:ascii="宋体" w:hAnsi="宋体" w:cs="宋体"/>
          <w:b w:val="0"/>
          <w:bCs/>
          <w:color w:val="000000"/>
          <w:sz w:val="24"/>
          <w:highlight w:val="none"/>
          <w:lang w:bidi="ar"/>
        </w:rPr>
        <w:t xml:space="preserve">零位移动：8级</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3.5彩色多普勒：</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3.5.1显示方式：包括速度、速度方差、能量、方向能量显示等</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3.5.</w:t>
      </w:r>
      <w:r>
        <w:rPr>
          <w:rFonts w:hint="eastAsia" w:ascii="宋体" w:hAnsi="宋体" w:cs="宋体"/>
          <w:b w:val="0"/>
          <w:bCs/>
          <w:color w:val="000000"/>
          <w:sz w:val="24"/>
          <w:highlight w:val="none"/>
          <w:lang w:val="en-US" w:eastAsia="zh-CN" w:bidi="ar"/>
        </w:rPr>
        <w:t xml:space="preserve">2</w:t>
      </w:r>
      <w:r>
        <w:rPr>
          <w:rFonts w:hint="eastAsia" w:ascii="宋体" w:hAnsi="宋体" w:cs="宋体"/>
          <w:b w:val="0"/>
          <w:bCs/>
          <w:color w:val="000000"/>
          <w:sz w:val="24"/>
          <w:highlight w:val="none"/>
          <w:lang w:bidi="ar"/>
        </w:rPr>
        <w:t xml:space="preserve">最大帧率: ≥220 帧/秒</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3.6记录装置：</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3.6.1内置一体化超声工作站：数字化储存静态及动态图像</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3.6.</w:t>
      </w:r>
      <w:r>
        <w:rPr>
          <w:rFonts w:hint="eastAsia" w:ascii="宋体" w:hAnsi="宋体" w:cs="宋体"/>
          <w:b w:val="0"/>
          <w:bCs/>
          <w:color w:val="000000"/>
          <w:sz w:val="24"/>
          <w:highlight w:val="none"/>
          <w:lang w:val="en-US" w:eastAsia="zh-CN" w:bidi="ar"/>
        </w:rPr>
        <w:t xml:space="preserve">2</w:t>
      </w:r>
      <w:r>
        <w:rPr>
          <w:rFonts w:hint="eastAsia" w:ascii="宋体" w:hAnsi="宋体" w:cs="宋体"/>
          <w:b w:val="0"/>
          <w:bCs/>
          <w:color w:val="000000"/>
          <w:sz w:val="24"/>
          <w:highlight w:val="none"/>
          <w:lang w:bidi="ar"/>
        </w:rPr>
        <w:t xml:space="preserve">内置USB接口≥6</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3.7外设和附件</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3.7.1支持主机一体化耦合剂加热器，耦合剂温度三挡可调</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3.7.2腔内探头放置架</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lang w:bidi="ar"/>
        </w:rPr>
        <w:t xml:space="preserve">3.7.</w:t>
      </w:r>
      <w:r>
        <w:rPr>
          <w:rFonts w:hint="eastAsia" w:ascii="宋体" w:hAnsi="宋体" w:cs="宋体"/>
          <w:b w:val="0"/>
          <w:bCs/>
          <w:color w:val="000000"/>
          <w:sz w:val="24"/>
          <w:highlight w:val="none"/>
          <w:lang w:val="en-US" w:eastAsia="zh-CN" w:bidi="ar"/>
        </w:rPr>
        <w:t xml:space="preserve">3</w:t>
      </w:r>
      <w:r>
        <w:rPr>
          <w:rFonts w:hint="eastAsia" w:ascii="宋体" w:hAnsi="宋体" w:cs="宋体"/>
          <w:b w:val="0"/>
          <w:bCs/>
          <w:color w:val="000000"/>
          <w:sz w:val="24"/>
          <w:highlight w:val="none"/>
          <w:lang w:bidi="ar"/>
        </w:rPr>
        <w:t xml:space="preserve">穿刺架（十个）</w:t>
      </w:r>
      <w:r>
        <w:rPr>
          <w:rFonts w:hint="eastAsia" w:ascii="宋体" w:hAnsi="宋体" w:cs="宋体"/>
          <w:b w:val="0"/>
          <w:bCs/>
          <w:color w:val="000000"/>
          <w:sz w:val="24"/>
          <w:highlight w:val="none"/>
          <w:lang w:bidi="ar"/>
        </w:rPr>
      </w:r>
      <w:r/>
    </w:p>
    <w:p>
      <w:pPr>
        <w:pStyle w:val="1070"/>
        <w:ind w:left="420"/>
        <w:jc w:val="left"/>
        <w:spacing w:line="360" w:lineRule="auto"/>
        <w:rPr>
          <w:rFonts w:hint="eastAsia" w:ascii="宋体" w:hAnsi="宋体" w:cs="宋体"/>
          <w:b/>
          <w:bCs w:val="0"/>
          <w:i/>
          <w:iCs/>
          <w:color w:val="000000"/>
          <w:sz w:val="24"/>
          <w:highlight w:val="none"/>
          <w:lang w:bidi="ar"/>
        </w:rPr>
      </w:pPr>
      <w:r>
        <w:rPr>
          <w:rFonts w:hint="eastAsia" w:ascii="宋体" w:hAnsi="宋体" w:cs="宋体"/>
          <w:b/>
          <w:bCs w:val="0"/>
          <w:i/>
          <w:iCs/>
          <w:color w:val="000000"/>
          <w:sz w:val="24"/>
          <w:highlight w:val="none"/>
          <w:lang w:bidi="ar"/>
        </w:rPr>
        <w:t xml:space="preserve">★（四）其他：含超声影像PACS接口及超声图文工作站一套。（本项为实质性要求，提供承诺函加盖投标人公章）</w:t>
      </w:r>
      <w:r>
        <w:rPr>
          <w:rFonts w:hint="eastAsia" w:ascii="宋体" w:hAnsi="宋体" w:cs="宋体"/>
          <w:b/>
          <w:bCs w:val="0"/>
          <w:i/>
          <w:iCs/>
          <w:color w:val="000000"/>
          <w:sz w:val="24"/>
          <w:highlight w:val="none"/>
          <w:lang w:bidi="ar"/>
        </w:rPr>
      </w:r>
      <w:r/>
    </w:p>
    <w:p>
      <w:pPr>
        <w:pStyle w:val="1070"/>
        <w:ind w:left="420"/>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w:t>
      </w:r>
      <w:r>
        <w:rPr>
          <w:rFonts w:hint="eastAsia" w:ascii="宋体" w:hAnsi="宋体" w:cs="宋体"/>
          <w:color w:val="000000"/>
          <w:sz w:val="24"/>
          <w:highlight w:val="none"/>
          <w:lang w:val="en-US" w:eastAsia="zh-CN" w:bidi="ar"/>
        </w:rPr>
        <w:t xml:space="preserve">30</w:t>
      </w:r>
      <w:r>
        <w:rPr>
          <w:rFonts w:hint="eastAsia" w:ascii="宋体" w:hAnsi="宋体" w:cs="宋体"/>
          <w:color w:val="000000"/>
          <w:sz w:val="24"/>
          <w:highlight w:val="none"/>
          <w:lang w:bidi="ar"/>
        </w:rPr>
        <w:t xml:space="preserve">天内完成合同范围内所有设备的供货、安装调试。</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w:t>
      </w:r>
      <w:r>
        <w:rPr>
          <w:rFonts w:hint="eastAsia" w:ascii="宋体" w:hAnsi="宋体" w:eastAsia="宋体" w:cs="宋体"/>
          <w:color w:val="000000"/>
          <w:sz w:val="24"/>
          <w:highlight w:val="none"/>
          <w:lang w:val="en-US" w:eastAsia="zh-CN" w:bidi="ar"/>
        </w:rPr>
        <w:t xml:space="preserve">标人负责将货物运到常州市妇幼保健院（常州市钟楼区丁香路16号）超声科</w:t>
      </w:r>
      <w:r>
        <w:rPr>
          <w:rFonts w:hint="eastAsia" w:ascii="宋体" w:hAnsi="宋体" w:cs="宋体"/>
          <w:color w:val="000000"/>
          <w:sz w:val="24"/>
          <w:highlight w:val="none"/>
          <w:lang w:bidi="ar"/>
        </w:rPr>
        <w:t xml:space="preserve">，由中标人负责办理运输和装卸等，费用由中标人负责，由采购人组织验收，检验不合格或不符合质量要求，中标人除无条件退货、返工外，还应承担采购人的一切损失。</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1.产</w:t>
      </w:r>
      <w:r>
        <w:rPr>
          <w:rFonts w:hint="eastAsia" w:ascii="宋体" w:hAnsi="宋体" w:cs="宋体"/>
          <w:color w:val="000000"/>
          <w:sz w:val="24"/>
          <w:highlight w:val="none"/>
        </w:rPr>
        <w:t xml:space="preserve">品到达交货地点后，采购人和中标单位在2日内共同检验产品数量、质量等状况，由中标单位负责并承担相关费用，采购人应积极配合。中标单位进行安装调试并经过性能测试后，由采购人组织联合验收小组验收。采购人在组织履约验收前，可根据项目特点制定验收方案，明确履约验收的时间、方式、程序等内容，并可根据项目特点对服务期内的服务实施情况进行分期考核。综合考核情况和服务效果进行验收。本项目验收分为初验和终验两个阶段，初验：设备供货、安装调试完成后十五个工作日内；终验：设备稳定运行一年后。中标人应根据验收方案内容做好相应配合工作。</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3.经双方共同验收，产品性能参数达不到采购合同要求的，采购人可以拒收，并可以解除合同。</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八、质保期及售后服务</w:t>
      </w:r>
      <w:r>
        <w:rPr>
          <w:rFonts w:hint="eastAsia" w:ascii="宋体" w:hAnsi="宋体" w:cs="宋体"/>
          <w:b/>
          <w:color w:val="000000"/>
          <w:sz w:val="24"/>
          <w:highlight w:val="none"/>
        </w:rPr>
      </w:r>
      <w:r/>
    </w:p>
    <w:p>
      <w:pPr>
        <w:pStyle w:val="1070"/>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（一）质保期：</w:t>
      </w:r>
      <w:r>
        <w:rPr>
          <w:rFonts w:hint="eastAsia" w:ascii="宋体" w:hAnsi="宋体" w:cs="宋体"/>
          <w:b/>
          <w:color w:val="000000"/>
          <w:sz w:val="24"/>
          <w:highlight w:val="none"/>
          <w:lang w:bidi="ar"/>
        </w:rPr>
      </w:r>
      <w:r/>
    </w:p>
    <w:p>
      <w:pPr>
        <w:pStyle w:val="1070"/>
        <w:ind w:firstLine="482"/>
        <w:jc w:val="left"/>
        <w:spacing w:line="360" w:lineRule="auto"/>
        <w:rPr>
          <w:rFonts w:hint="eastAsia" w:ascii="宋体" w:hAnsi="宋体" w:cs="宋体"/>
          <w:color w:val="000000"/>
          <w:sz w:val="24"/>
          <w:highlight w:val="none"/>
          <w:lang w:bidi="ar"/>
        </w:rPr>
      </w:pPr>
      <w:r>
        <w:rPr>
          <w:rFonts w:hint="eastAsia" w:ascii="宋体" w:hAnsi="宋体" w:cs="宋体"/>
          <w:b/>
          <w:color w:val="000000"/>
          <w:sz w:val="24"/>
          <w:highlight w:val="none"/>
          <w:lang w:val="en-US" w:eastAsia="zh-CN" w:bidi="ar"/>
        </w:rPr>
        <w:t xml:space="preserve">1、</w:t>
      </w:r>
      <w:r>
        <w:rPr>
          <w:rFonts w:hint="eastAsia" w:ascii="宋体" w:hAnsi="宋体" w:cs="宋体"/>
          <w:color w:val="000000"/>
          <w:sz w:val="24"/>
          <w:highlight w:val="none"/>
          <w:lang w:bidi="ar"/>
        </w:rPr>
        <w:t xml:space="preserve">投标人报价时须承诺所供货物免费质保期</w:t>
      </w:r>
      <w:r>
        <w:rPr>
          <w:rFonts w:hint="eastAsia" w:ascii="宋体" w:hAnsi="宋体" w:cs="宋体"/>
          <w:b/>
          <w:color w:val="000000"/>
          <w:sz w:val="24"/>
          <w:highlight w:val="none"/>
          <w:lang w:bidi="ar"/>
        </w:rPr>
        <w:t xml:space="preserve">不少于</w:t>
      </w:r>
      <w:r>
        <w:rPr>
          <w:rFonts w:hint="eastAsia" w:ascii="宋体" w:hAnsi="宋体" w:cs="宋体"/>
          <w:b/>
          <w:color w:val="000000"/>
          <w:sz w:val="24"/>
          <w:highlight w:val="none"/>
          <w:lang w:val="en-US" w:eastAsia="zh-CN" w:bidi="ar"/>
        </w:rPr>
        <w:t xml:space="preserve">3</w:t>
      </w:r>
      <w:r>
        <w:rPr>
          <w:rFonts w:hint="eastAsia" w:ascii="宋体" w:hAnsi="宋体" w:cs="宋体"/>
          <w:b/>
          <w:color w:val="000000"/>
          <w:sz w:val="24"/>
          <w:highlight w:val="none"/>
          <w:lang w:bidi="ar"/>
        </w:rPr>
        <w:t xml:space="preserve">年</w:t>
      </w:r>
      <w:r>
        <w:rPr>
          <w:rFonts w:hint="eastAsia" w:ascii="宋体" w:hAnsi="宋体" w:cs="宋体"/>
          <w:color w:val="000000"/>
          <w:sz w:val="24"/>
          <w:highlight w:val="none"/>
          <w:lang w:bidi="ar"/>
        </w:rPr>
        <w:t xml:space="preserve">（自验收报告签字确认日起，开始进入质保期）。中标单位对质保期内所发生的设备维护、维修、更换等一切费用负责。提供设备关键配件清单（包括但不限于名称、型号、参考价格等）</w:t>
      </w:r>
      <w:r>
        <w:rPr>
          <w:rFonts w:hint="eastAsia" w:ascii="宋体" w:hAnsi="宋体" w:cs="宋体"/>
          <w:color w:val="000000"/>
          <w:sz w:val="24"/>
          <w:highlight w:val="none"/>
          <w:lang w:bidi="ar"/>
        </w:rPr>
      </w:r>
      <w:r/>
    </w:p>
    <w:p>
      <w:pPr>
        <w:pStyle w:val="1070"/>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2、供应商承诺货物后期维保费用</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含数据和传输产生的流量费用、设备维修保养费用等</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不超过合同总价的</w:t>
      </w: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质保期结束，不能视为中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 投标人应按照国家有关法律法规和“三包”规定以及响应文件中的“售后服务承诺”提供服务。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5.投标人所提供货物必须是全新未使用的并符合国家有关技术标准。</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7.终身提供应用技术服务，设备出现故障时保证24小时内服务维修响应。</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8.质保期过后，</w:t>
      </w:r>
      <w:r>
        <w:rPr>
          <w:rFonts w:hint="eastAsia" w:ascii="宋体" w:hAnsi="宋体" w:cs="宋体"/>
          <w:color w:val="000000"/>
          <w:sz w:val="24"/>
          <w:highlight w:val="none"/>
        </w:rPr>
        <w:t xml:space="preserve">投标人提供能完善的后续服务，保证零配件的供给。</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9.备件要求：</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（2）投标人应配置工程技术人员，随时提供开箱验货、安装、调试或维修等服务。</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（三）人员培训</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0"/>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九、付款方式（以合同签订为准）</w:t>
      </w:r>
      <w:r>
        <w:rPr>
          <w:rFonts w:hint="eastAsia" w:ascii="宋体" w:hAnsi="宋体" w:cs="宋体"/>
          <w:b/>
          <w:color w:val="000000"/>
          <w:sz w:val="24"/>
          <w:highlight w:val="none"/>
        </w:rPr>
      </w:r>
      <w:r/>
    </w:p>
    <w:p>
      <w:pPr>
        <w:pStyle w:val="1070"/>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设备安装、调试、验收合格、培训指导完成、正常使用、完成入库手续首付30%货款；完成入库手续12个月后凭终期验收合格报告付清70%余款（无息）</w:t>
      </w:r>
      <w:r>
        <w:rPr>
          <w:rFonts w:hint="eastAsia" w:ascii="宋体" w:hAnsi="宋体" w:eastAsia="宋体" w:cs="宋体"/>
          <w:color w:val="000000"/>
          <w:sz w:val="24"/>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bookmarkStart w:id="816" w:name="_Toc99301425"/>
      <w:r>
        <w:rPr>
          <w:rFonts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第六章   拟签订的合同文本</w:t>
      </w:r>
      <w:bookmarkEnd w:id="816"/>
      <w:r>
        <w:rPr>
          <w:rFonts w:ascii="宋体" w:hAnsi="宋体"/>
          <w:b/>
          <w:color w:val="000000"/>
          <w:sz w:val="36"/>
          <w:szCs w:val="36"/>
          <w:highlight w:val="none"/>
        </w:rPr>
      </w:r>
      <w:r/>
    </w:p>
    <w:p>
      <w:pPr>
        <w:pStyle w:val="1109"/>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09"/>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92"/>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1105"/>
        <w:gridCol w:w="1624"/>
        <w:gridCol w:w="1194"/>
        <w:gridCol w:w="1425"/>
        <w:gridCol w:w="1874"/>
      </w:tblGrid>
      <w:tr>
        <w:trPr/>
        <w:tc>
          <w:tcPr>
            <w:tcW w:w="1112"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设备名称</w:t>
            </w:r>
            <w:r>
              <w:rPr>
                <w:rFonts w:ascii="宋体" w:hAnsi="宋体"/>
                <w:color w:val="000000"/>
                <w:sz w:val="24"/>
                <w:highlight w:val="none"/>
              </w:rPr>
            </w:r>
            <w:r/>
          </w:p>
        </w:tc>
        <w:tc>
          <w:tcPr>
            <w:tcW w:w="595"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874"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643"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767"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1006" w:type="dxa"/>
            <w:vAlign w:val="center"/>
            <w:textDirection w:val="lrTb"/>
            <w:noWrap w:val="false"/>
          </w:tcPr>
          <w:p>
            <w:pPr>
              <w:pStyle w:val="1070"/>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1112" w:type="dxa"/>
            <w:vAlign w:val="center"/>
            <w:textDirection w:val="lrTb"/>
            <w:noWrap w:val="false"/>
          </w:tcPr>
          <w:p>
            <w:pPr>
              <w:pStyle w:val="1070"/>
              <w:jc w:val="center"/>
              <w:spacing w:line="360" w:lineRule="exact"/>
              <w:rPr>
                <w:rFonts w:hint="eastAsia" w:ascii="宋体" w:hAnsi="宋体" w:eastAsia="宋体"/>
                <w:b/>
                <w:color w:val="000000"/>
                <w:sz w:val="24"/>
                <w:highlight w:val="none"/>
                <w:lang w:eastAsia="zh-CN"/>
              </w:rPr>
            </w:pPr>
            <w:r>
              <w:rPr>
                <w:rFonts w:hint="eastAsia" w:ascii="宋体" w:hAnsi="宋体" w:eastAsia="宋体"/>
                <w:b/>
                <w:color w:val="000000"/>
                <w:sz w:val="24"/>
                <w:highlight w:val="none"/>
                <w:lang w:eastAsia="zh-CN"/>
              </w:rPr>
            </w:r>
            <w:r/>
          </w:p>
        </w:tc>
        <w:tc>
          <w:tcPr>
            <w:tcW w:w="595"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74"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43"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67"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c>
          <w:tcPr>
            <w:tcW w:w="1006" w:type="dxa"/>
            <w:vAlign w:val="center"/>
            <w:textDirection w:val="lrTb"/>
            <w:noWrap w:val="false"/>
          </w:tcPr>
          <w:p>
            <w:pPr>
              <w:pStyle w:val="1070"/>
              <w:jc w:val="center"/>
              <w:spacing w:line="360" w:lineRule="exact"/>
              <w:rPr>
                <w:rFonts w:ascii="宋体" w:hAnsi="宋体"/>
                <w:b/>
                <w:color w:val="000000"/>
                <w:sz w:val="24"/>
                <w:highlight w:val="none"/>
              </w:rPr>
            </w:pPr>
            <w:r>
              <w:rPr>
                <w:rFonts w:ascii="宋体" w:hAnsi="宋体"/>
                <w:b/>
                <w:color w:val="000000"/>
                <w:sz w:val="24"/>
                <w:highlight w:val="none"/>
              </w:rPr>
            </w:r>
            <w:r/>
          </w:p>
        </w:tc>
      </w:tr>
      <w:tr>
        <w:trPr/>
        <w:tc>
          <w:tcPr>
            <w:gridSpan w:val="6"/>
            <w:tcW w:w="9288" w:type="dxa"/>
            <w:vAlign w:val="center"/>
            <w:textDirection w:val="lrTb"/>
            <w:noWrap w:val="false"/>
          </w:tcPr>
          <w:p>
            <w:pPr>
              <w:pStyle w:val="1070"/>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  万   仟  佰  圆整</w:t>
            </w:r>
            <w:r>
              <w:rPr>
                <w:rFonts w:ascii="宋体" w:hAnsi="宋体"/>
                <w:color w:val="000000"/>
                <w:sz w:val="24"/>
                <w:highlight w:val="none"/>
              </w:rPr>
            </w:r>
            <w:r/>
          </w:p>
        </w:tc>
      </w:tr>
    </w:tbl>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09"/>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0"/>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ascii="宋体" w:hAnsi="宋体" w:cs="宋体"/>
          <w:color w:val="000000"/>
          <w:sz w:val="24"/>
          <w:highlight w:val="none"/>
        </w:rPr>
      </w:r>
      <w:r/>
    </w:p>
    <w:p>
      <w:pPr>
        <w:pStyle w:val="110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0"/>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0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09"/>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164"/>
        <w:contextualSpacing/>
        <w:ind w:firstLine="480"/>
        <w:jc w:val="left"/>
        <w:spacing w:line="360" w:lineRule="auto"/>
        <w:rPr>
          <w:rFonts w:hint="eastAsia" w:ascii="宋体" w:hAnsi="宋体"/>
          <w:color w:val="000000"/>
          <w:sz w:val="24"/>
          <w:szCs w:val="24"/>
          <w:highlight w:val="none"/>
        </w:rPr>
      </w:pPr>
      <w:r>
        <w:rPr>
          <w:rFonts w:hint="eastAsia" w:ascii="宋体" w:hAnsi="宋体" w:cs="宋体"/>
          <w:color w:val="000000"/>
          <w:sz w:val="24"/>
          <w:highlight w:val="none"/>
        </w:rPr>
        <w:t xml:space="preserve">4.付款方式：</w:t>
      </w:r>
      <w:r>
        <w:rPr>
          <w:rFonts w:hint="eastAsia" w:ascii="宋体" w:hAnsi="宋体" w:eastAsia="宋体" w:cs="宋体"/>
          <w:color w:val="000000"/>
          <w:sz w:val="24"/>
          <w:highlight w:val="none"/>
        </w:rPr>
        <w:t xml:space="preserve">设备安装、调试、验收合格、培训指导完成、正常使用、完成入库手续首付30%货款；完成入库手续12个月后凭终期验收合格报告付清70%余款（无息）</w:t>
      </w:r>
      <w:r>
        <w:rPr>
          <w:rFonts w:hint="eastAsia" w:ascii="宋体" w:hAnsi="宋体"/>
          <w:color w:val="000000"/>
          <w:sz w:val="24"/>
          <w:szCs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w:t>
      </w:r>
      <w:r>
        <w:rPr>
          <w:rFonts w:hint="eastAsia" w:ascii="宋体" w:hAnsi="宋体" w:eastAsia="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.乙方所交付的货物品种、型号、规格不符合合同规定的，甲方有权拒收，同时有权解除合同，解除合同的通知自</w:t>
      </w:r>
      <w:r>
        <w:rPr>
          <w:rFonts w:hint="eastAsia" w:ascii="宋体" w:hAnsi="宋体" w:eastAsia="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.乙方未按本合同的规定和“服务承诺”提供伴随服务/售后服务的，甲方有权提前解除本合同，同时乙方应按合同总价款的5 %向甲方承担违约责任。</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包括不限于甲方为了维护权利所花费的诉讼费，保全费，保全保险费，律师费，交通费等费用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70"/>
        <w:ind w:firstLine="480"/>
        <w:spacing w:line="360" w:lineRule="auto"/>
        <w:rPr>
          <w:rFonts w:ascii="宋体" w:hAnsi="宋体"/>
          <w:color w:val="000000"/>
          <w:sz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.其他未尽事宜，以《中华人民共和国民法典》等有关法律法规规定为准，无相关规定的，双方协商解决。</w:t>
      </w:r>
      <w:r>
        <w:rPr>
          <w:rFonts w:ascii="宋体" w:hAnsi="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0"/>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乙方交付货物后，甲方发现货物的质量与合同内容不符或证</w:t>
      </w:r>
      <w:r>
        <w:rPr>
          <w:rFonts w:hint="eastAsia" w:ascii="宋体" w:hAnsi="宋体" w:eastAsia="宋体" w:cs="宋体"/>
          <w:color w:val="000000"/>
          <w:sz w:val="24"/>
          <w:szCs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eastAsia="宋体" w:cs="宋体"/>
          <w:color w:val="000000"/>
          <w:sz w:val="24"/>
          <w:szCs w:val="24"/>
          <w:highlight w:val="none"/>
        </w:rPr>
      </w:r>
      <w:r/>
    </w:p>
    <w:p>
      <w:pPr>
        <w:pStyle w:val="1070"/>
        <w:ind w:firstLine="480"/>
        <w:keepLines w:val="0"/>
        <w:keepNext w:val="0"/>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szCs w:val="24"/>
          <w:highlight w:val="none"/>
        </w:rPr>
        <w:t xml:space="preserve">甲方因主张上述权利而支出的所有合理费用，包括但不限于律师费、诉讼费、鉴定费、差旅费、保函费等，均由乙方承担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eastAsia="zh-CN"/>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0"/>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1070"/>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0"/>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传真：                电话：            传真：</w:t>
      </w:r>
      <w:r>
        <w:rPr>
          <w:rFonts w:ascii="宋体" w:hAnsi="宋体" w:cs="宋体"/>
          <w:color w:val="000000"/>
          <w:sz w:val="24"/>
          <w:highlight w:val="none"/>
        </w:rPr>
      </w:r>
      <w:r/>
    </w:p>
    <w:p>
      <w:pPr>
        <w:pStyle w:val="1070"/>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开户银行：        账号：    </w:t>
      </w:r>
      <w:r>
        <w:rPr>
          <w:rFonts w:hint="eastAsia"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70"/>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7" w:name="_Toc99301426"/>
      <w:r>
        <w:rPr>
          <w:rFonts w:ascii="宋体" w:hAnsi="宋体"/>
          <w:b/>
          <w:color w:val="000000"/>
          <w:sz w:val="36"/>
          <w:szCs w:val="36"/>
          <w:highlight w:val="none"/>
        </w:rPr>
        <w:t xml:space="preserve">第七章   投标文件格式</w:t>
      </w:r>
      <w:bookmarkEnd w:id="817"/>
      <w:r>
        <w:rPr>
          <w:rFonts w:ascii="宋体" w:hAnsi="宋体"/>
          <w:b/>
          <w:color w:val="000000"/>
          <w:sz w:val="36"/>
          <w:szCs w:val="36"/>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0"/>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0"/>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0"/>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0"/>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0"/>
        <w:rPr>
          <w:rFonts w:ascii="宋体" w:hAnsi="宋体"/>
          <w:b/>
          <w:color w:val="000000"/>
          <w:spacing w:val="20"/>
          <w:szCs w:val="21"/>
          <w:highlight w:val="none"/>
        </w:rPr>
      </w:pPr>
      <w:r>
        <w:rPr>
          <w:rFonts w:ascii="宋体" w:hAnsi="宋体"/>
          <w:b/>
          <w:color w:val="000000"/>
          <w:spacing w:val="20"/>
          <w:szCs w:val="21"/>
          <w:highlight w:val="none"/>
        </w:rPr>
      </w:r>
      <w:r/>
    </w:p>
    <w:p>
      <w:pPr>
        <w:pStyle w:val="1070"/>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0"/>
        <w:jc w:val="center"/>
        <w:rPr>
          <w:rFonts w:ascii="宋体" w:hAnsi="宋体"/>
          <w:color w:val="000000"/>
          <w:szCs w:val="21"/>
          <w:highlight w:val="none"/>
        </w:rPr>
      </w:pPr>
      <w:r>
        <w:rPr>
          <w:rFonts w:ascii="宋体" w:hAnsi="宋体"/>
          <w:color w:val="000000"/>
          <w:szCs w:val="21"/>
          <w:highlight w:val="none"/>
        </w:rPr>
      </w:r>
      <w:r/>
    </w:p>
    <w:p>
      <w:pPr>
        <w:pStyle w:val="1070"/>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0"/>
        <w:jc w:val="center"/>
        <w:rPr>
          <w:rFonts w:ascii="宋体" w:hAnsi="宋体"/>
          <w:b/>
          <w:color w:val="000000"/>
          <w:sz w:val="32"/>
          <w:szCs w:val="32"/>
          <w:highlight w:val="none"/>
        </w:rPr>
      </w:pPr>
      <w:r>
        <w:rPr>
          <w:rFonts w:ascii="宋体" w:hAnsi="宋体"/>
          <w:b/>
          <w:color w:val="000000"/>
          <w:sz w:val="32"/>
          <w:szCs w:val="32"/>
          <w:highlight w:val="none"/>
        </w:rPr>
      </w:r>
      <w:r/>
    </w:p>
    <w:p>
      <w:pPr>
        <w:pStyle w:val="1070"/>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0"/>
        <w:rPr>
          <w:rFonts w:ascii="宋体" w:hAnsi="宋体"/>
          <w:b/>
          <w:color w:val="000000"/>
          <w:highlight w:val="none"/>
        </w:rPr>
      </w:pPr>
      <w:r>
        <w:rPr>
          <w:rFonts w:ascii="宋体" w:hAnsi="宋体"/>
          <w:b/>
          <w:color w:val="000000"/>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3"/>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0"/>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0"/>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92"/>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92"/>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92"/>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0"/>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0"/>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0"/>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0"/>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18" w:name="_Toc226337252"/>
      <w:r/>
      <w:bookmarkStart w:id="819" w:name="_Toc226309800"/>
      <w:r/>
      <w:bookmarkStart w:id="820" w:name="_Toc127151556"/>
      <w:r/>
      <w:bookmarkStart w:id="821" w:name="_Toc226965829"/>
      <w:r/>
      <w:bookmarkStart w:id="822" w:name="_Ref467988698"/>
      <w:r/>
      <w:bookmarkStart w:id="823" w:name="_Toc226965746"/>
      <w:r/>
      <w:bookmarkStart w:id="824" w:name="_Toc480942349"/>
      <w:r/>
      <w:bookmarkStart w:id="825" w:name="_Toc195842921"/>
      <w:r/>
      <w:bookmarkStart w:id="826" w:name="_Toc142311058"/>
      <w:r/>
      <w:bookmarkStart w:id="827" w:name="_Toc150480794"/>
      <w:r/>
      <w:bookmarkStart w:id="828" w:name="_Toc520356217"/>
      <w:r/>
      <w:bookmarkStart w:id="829" w:name="_Toc150774761"/>
      <w:r>
        <w:rPr>
          <w:rFonts w:hint="eastAsia" w:ascii="宋体" w:hAnsi="宋体"/>
          <w:b/>
          <w:color w:val="000000"/>
          <w:sz w:val="32"/>
          <w:szCs w:val="32"/>
          <w:highlight w:val="none"/>
        </w:rPr>
      </w:r>
      <w:r/>
    </w:p>
    <w:p>
      <w:pPr>
        <w:pStyle w:val="1070"/>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0"/>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0"/>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0"/>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0"/>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0"/>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0"/>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0"/>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0"/>
        <w:jc w:val="left"/>
        <w:widowControl/>
        <w:rPr>
          <w:rFonts w:hint="eastAsia" w:ascii="宋体" w:hAnsi="宋体"/>
          <w:b/>
          <w:color w:val="000000"/>
          <w:sz w:val="24"/>
          <w:highlight w:val="none"/>
        </w:rPr>
      </w:pPr>
      <w:r/>
      <w:bookmarkStart w:id="830" w:name="_Hlt520355938"/>
      <w:r/>
      <w:bookmarkEnd w:id="830"/>
      <w:r/>
      <w:bookmarkStart w:id="831" w:name="_Hlt520356243"/>
      <w:r/>
      <w:bookmarkEnd w:id="831"/>
      <w:r>
        <w:rPr>
          <w:rFonts w:ascii="宋体" w:hAnsi="宋体"/>
          <w:color w:val="000000"/>
          <w:sz w:val="24"/>
          <w:highlight w:val="none"/>
        </w:rPr>
        <w:br w:type="page" w:clear="all"/>
      </w:r>
      <w:r>
        <w:rPr>
          <w:rFonts w:hint="eastAsia" w:ascii="宋体" w:hAnsi="宋体"/>
          <w:b/>
          <w:color w:val="000000"/>
          <w:sz w:val="24"/>
          <w:highlight w:val="none"/>
        </w:rPr>
      </w:r>
      <w:r/>
    </w:p>
    <w:p>
      <w:pPr>
        <w:pStyle w:val="1070"/>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ascii="宋体" w:hAnsi="宋体"/>
          <w:color w:val="000000"/>
          <w:sz w:val="24"/>
          <w:highlight w:val="none"/>
        </w:rPr>
      </w:r>
      <w:r/>
    </w:p>
    <w:p>
      <w:pPr>
        <w:pStyle w:val="1101"/>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0"/>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0"/>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0"/>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0"/>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2"/>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0"/>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48"/>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0"/>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1"/>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1"/>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2"/>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0"/>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0"/>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0"/>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0"/>
        <w:ind w:firstLine="640"/>
        <w:rPr>
          <w:rFonts w:ascii="宋体" w:hAnsi="宋体"/>
          <w:color w:val="000000"/>
          <w:highlight w:val="none"/>
        </w:rPr>
      </w:pPr>
      <w:r>
        <w:rPr>
          <w:rFonts w:ascii="宋体" w:hAnsi="宋体"/>
          <w:color w:val="000000"/>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0"/>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32" w:name="_Hlt520355504"/>
      <w:r/>
      <w:bookmarkEnd w:id="832"/>
      <w:r/>
      <w:bookmarkStart w:id="833" w:name="_Hlt520274393"/>
      <w:r/>
      <w:bookmarkEnd w:id="833"/>
      <w:r/>
      <w:bookmarkStart w:id="834" w:name="_Hlt520343000"/>
      <w:r/>
      <w:bookmarkEnd w:id="834"/>
      <w:r/>
      <w:bookmarkStart w:id="835" w:name="_Hlt520274121"/>
      <w:r/>
      <w:bookmarkEnd w:id="835"/>
      <w:r/>
      <w:bookmarkStart w:id="836" w:name="_Hlt520271212"/>
      <w:r/>
      <w:bookmarkEnd w:id="836"/>
      <w:r/>
      <w:bookmarkStart w:id="837" w:name="_Hlt520273711"/>
      <w:r/>
      <w:bookmarkEnd w:id="837"/>
      <w:r/>
      <w:bookmarkStart w:id="838" w:name="_Hlt520274065"/>
      <w:r/>
      <w:bookmarkEnd w:id="838"/>
      <w:r/>
      <w:bookmarkStart w:id="839" w:name="_Hlt520343392"/>
      <w:r/>
      <w:bookmarkEnd w:id="839"/>
      <w:r/>
      <w:bookmarkStart w:id="840" w:name="_Hlt520350918"/>
      <w:r/>
      <w:bookmarkEnd w:id="840"/>
      <w:r/>
      <w:bookmarkStart w:id="841" w:name="_Hlt520274407"/>
      <w:r/>
      <w:bookmarkEnd w:id="841"/>
      <w:r/>
      <w:bookmarkStart w:id="842" w:name="_Toc226965747"/>
      <w:r/>
      <w:bookmarkStart w:id="843" w:name="_Toc150774762"/>
      <w:r/>
      <w:bookmarkStart w:id="844" w:name="_Toc195842922"/>
      <w:r/>
      <w:bookmarkStart w:id="845" w:name="_Toc226965830"/>
      <w:r/>
      <w:bookmarkStart w:id="846" w:name="_Toc127151557"/>
      <w:r/>
      <w:bookmarkStart w:id="847" w:name="_Toc305158899"/>
      <w:r/>
      <w:bookmarkStart w:id="848" w:name="_Toc226337253"/>
      <w:r/>
      <w:bookmarkStart w:id="849" w:name="_Toc150480795"/>
      <w:r/>
      <w:bookmarkStart w:id="850" w:name="_Toc480942350"/>
      <w:r/>
      <w:bookmarkStart w:id="851" w:name="_Toc226309801"/>
      <w:r/>
      <w:bookmarkStart w:id="852" w:name="_Toc264969247"/>
      <w:r/>
      <w:bookmarkStart w:id="853" w:name="_Toc520356218"/>
      <w:r/>
      <w:bookmarkStart w:id="854" w:name="_Toc265228395"/>
      <w:r/>
      <w:bookmarkStart w:id="855" w:name="_Ref467988705"/>
      <w:r/>
      <w:bookmarkStart w:id="856" w:name="_Toc305158825"/>
      <w:r/>
      <w:bookmarkStart w:id="857" w:name="_Toc142311059"/>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b/>
          <w:color w:val="000000"/>
          <w:sz w:val="36"/>
          <w:szCs w:val="36"/>
          <w:highlight w:val="none"/>
        </w:rPr>
      </w:pPr>
      <w:r/>
      <w:bookmarkStart w:id="858" w:name="_Toc264969248"/>
      <w:r/>
      <w:bookmarkStart w:id="859" w:name="_Toc195842923"/>
      <w:r/>
      <w:bookmarkStart w:id="860" w:name="_Toc164608827"/>
      <w:r/>
      <w:bookmarkStart w:id="861" w:name="_Toc226337254"/>
      <w:r/>
      <w:bookmarkStart w:id="862" w:name="_Toc226965748"/>
      <w:r/>
      <w:bookmarkStart w:id="863" w:name="_Toc305158900"/>
      <w:r/>
      <w:bookmarkStart w:id="864" w:name="_Toc226965831"/>
      <w:r/>
      <w:bookmarkStart w:id="865" w:name="_Toc164608672"/>
      <w:r/>
      <w:bookmarkStart w:id="866" w:name="_Toc226309802"/>
      <w:r/>
      <w:bookmarkStart w:id="867" w:name="_Toc305158826"/>
      <w:r/>
      <w:bookmarkStart w:id="868" w:name="_Toc265228396"/>
      <w:r>
        <w:rPr>
          <w:rFonts w:hint="eastAsia" w:ascii="宋体" w:hAnsi="宋体"/>
          <w:b/>
          <w:color w:val="000000"/>
          <w:sz w:val="36"/>
          <w:szCs w:val="36"/>
          <w:highlight w:val="none"/>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color w:val="000000"/>
          <w:sz w:val="36"/>
          <w:szCs w:val="36"/>
          <w:highlight w:val="none"/>
        </w:rPr>
      </w:r>
      <w:r/>
    </w:p>
    <w:p>
      <w:pPr>
        <w:pStyle w:val="1070"/>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0"/>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0"/>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0"/>
        <w:jc w:val="left"/>
        <w:rPr>
          <w:rFonts w:ascii="宋体" w:hAnsi="宋体"/>
          <w:color w:val="000000"/>
          <w:sz w:val="24"/>
          <w:highlight w:val="none"/>
        </w:rPr>
      </w:pPr>
      <w:r>
        <w:rPr>
          <w:rFonts w:ascii="宋体" w:hAnsi="宋体"/>
          <w:color w:val="000000"/>
          <w:sz w:val="24"/>
          <w:highlight w:val="none"/>
        </w:rPr>
      </w:r>
      <w:r/>
    </w:p>
    <w:p>
      <w:pPr>
        <w:pStyle w:val="1070"/>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0"/>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bookmarkStart w:id="869" w:name="_Toc150774763"/>
      <w:r/>
      <w:bookmarkStart w:id="870" w:name="_Toc150480796"/>
      <w:r/>
      <w:bookmarkStart w:id="871" w:name="_Toc195842924"/>
      <w:r/>
      <w:bookmarkStart w:id="872" w:name="_Toc264969249"/>
      <w:r/>
      <w:bookmarkStart w:id="873" w:name="_Toc265228397"/>
      <w:r/>
      <w:bookmarkStart w:id="874" w:name="_Toc226337255"/>
      <w:r/>
      <w:bookmarkStart w:id="875" w:name="_Toc226965832"/>
      <w:r/>
      <w:bookmarkStart w:id="876" w:name="_Toc142311060"/>
      <w:r/>
      <w:bookmarkStart w:id="877" w:name="_Toc305158827"/>
      <w:r/>
      <w:bookmarkStart w:id="878" w:name="_Toc226309803"/>
      <w:r/>
      <w:bookmarkStart w:id="879" w:name="_Toc127151558"/>
      <w:r/>
      <w:bookmarkStart w:id="880" w:name="_Toc226965749"/>
      <w:r/>
      <w:bookmarkStart w:id="881" w:name="_Toc305158901"/>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0"/>
        <w:jc w:val="left"/>
        <w:spacing w:before="240" w:after="240"/>
        <w:rPr>
          <w:rFonts w:ascii="宋体" w:hAnsi="宋体"/>
          <w:b/>
          <w:i/>
          <w:color w:val="000000"/>
          <w:sz w:val="24"/>
          <w:highlight w:val="none"/>
        </w:rPr>
      </w:pPr>
      <w:r>
        <w:rPr>
          <w:rFonts w:ascii="宋体" w:hAnsi="宋体"/>
          <w:b/>
          <w:i/>
          <w:color w:val="000000"/>
          <w:sz w:val="24"/>
          <w:highlight w:val="none"/>
        </w:rPr>
      </w:r>
      <w:r/>
    </w:p>
    <w:p>
      <w:pPr>
        <w:pStyle w:val="1070"/>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0"/>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0"/>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0"/>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0"/>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0"/>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82" w:name="_Toc226309806"/>
      <w:r/>
      <w:bookmarkStart w:id="883" w:name="_Toc264969252"/>
      <w:r/>
      <w:bookmarkStart w:id="884" w:name="_Toc142311062"/>
      <w:r/>
      <w:bookmarkStart w:id="885" w:name="_Toc150480798"/>
      <w:r/>
      <w:bookmarkStart w:id="886" w:name="_Toc226965752"/>
      <w:r/>
      <w:bookmarkStart w:id="887" w:name="_Toc226337258"/>
      <w:r/>
      <w:bookmarkStart w:id="888" w:name="_Toc305158830"/>
      <w:r/>
      <w:bookmarkStart w:id="889" w:name="_Toc127151562"/>
      <w:r/>
      <w:bookmarkStart w:id="890" w:name="_Toc195842927"/>
      <w:r/>
      <w:bookmarkStart w:id="891" w:name="_Toc305158904"/>
      <w:r/>
      <w:bookmarkStart w:id="892" w:name="_Toc265228400"/>
      <w:r/>
      <w:bookmarkStart w:id="893" w:name="_Toc150774765"/>
      <w:r/>
      <w:bookmarkStart w:id="894" w:name="_Toc226965835"/>
      <w:r/>
      <w:bookmarkStart w:id="895" w:name="_Toc264969251"/>
      <w:r/>
      <w:bookmarkStart w:id="896" w:name="_Toc226965834"/>
      <w:r/>
      <w:bookmarkStart w:id="897" w:name="_Toc265228399"/>
      <w:r/>
      <w:bookmarkStart w:id="898" w:name="_Toc305158829"/>
      <w:r/>
      <w:bookmarkStart w:id="899" w:name="_Toc226337257"/>
      <w:r/>
      <w:bookmarkStart w:id="900" w:name="_Toc226965751"/>
      <w:r/>
      <w:bookmarkStart w:id="901" w:name="_Toc127151561"/>
      <w:r/>
      <w:bookmarkStart w:id="902" w:name="_Toc142311061"/>
      <w:r/>
      <w:bookmarkStart w:id="903" w:name="_Toc150480797"/>
      <w:r/>
      <w:bookmarkStart w:id="904" w:name="_Toc226309805"/>
      <w:r/>
      <w:bookmarkStart w:id="905" w:name="_Toc195842926"/>
      <w:r/>
      <w:bookmarkStart w:id="906" w:name="_Toc305158903"/>
      <w:r/>
      <w:bookmarkStart w:id="907" w:name="_Toc150774764"/>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0"/>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0"/>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0"/>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0"/>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0"/>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0"/>
              <w:jc w:val="center"/>
              <w:rPr>
                <w:rFonts w:ascii="宋体" w:hAnsi="宋体"/>
                <w:color w:val="000000"/>
                <w:sz w:val="24"/>
                <w:highlight w:val="none"/>
              </w:rPr>
            </w:pPr>
            <w:r>
              <w:rPr>
                <w:rFonts w:ascii="宋体" w:hAnsi="宋体"/>
                <w:color w:val="000000"/>
                <w:sz w:val="24"/>
                <w:highlight w:val="none"/>
              </w:rPr>
            </w:r>
            <w:r/>
          </w:p>
        </w:tc>
      </w:tr>
    </w:tbl>
    <w:p>
      <w:pPr>
        <w:pStyle w:val="1070"/>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0"/>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0"/>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5"/>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0"/>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0"/>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0"/>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0"/>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0"/>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0"/>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0"/>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0"/>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0"/>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0"/>
        <w:ind w:firstLine="420"/>
        <w:jc w:val="left"/>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0"/>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0"/>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0"/>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0"/>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0"/>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0"/>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11  参加本项目人员一览表</w:t>
      </w:r>
      <w:r>
        <w:rPr>
          <w:rFonts w:ascii="宋体" w:hAnsi="宋体"/>
          <w:b/>
          <w:color w:val="000000"/>
          <w:sz w:val="24"/>
          <w:highlight w:val="none"/>
        </w:rPr>
      </w:r>
      <w:r/>
    </w:p>
    <w:p>
      <w:pPr>
        <w:pStyle w:val="107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0"/>
        <w:spacing w:line="360" w:lineRule="auto"/>
        <w:rPr>
          <w:rFonts w:ascii="宋体" w:hAnsi="宋体"/>
          <w:color w:val="000000"/>
          <w:sz w:val="22"/>
          <w:highlight w:val="none"/>
        </w:rPr>
      </w:pPr>
      <w:r>
        <w:rPr>
          <w:rFonts w:ascii="宋体" w:hAnsi="宋体"/>
          <w:color w:val="000000"/>
          <w:sz w:val="22"/>
          <w:highlight w:val="none"/>
        </w:rPr>
      </w:r>
      <w:r/>
    </w:p>
    <w:p>
      <w:pPr>
        <w:pStyle w:val="107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0"/>
        <w:spacing w:line="360" w:lineRule="auto"/>
        <w:rPr>
          <w:rFonts w:ascii="宋体" w:hAnsi="宋体"/>
          <w:color w:val="000000"/>
          <w:sz w:val="24"/>
          <w:highlight w:val="none"/>
        </w:rPr>
      </w:pPr>
      <w:r>
        <w:rPr>
          <w:rFonts w:ascii="宋体" w:hAnsi="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8" w:name="_Toc288738839"/>
      <w:r/>
      <w:bookmarkStart w:id="909" w:name="_Toc288738397"/>
      <w:r>
        <w:rPr>
          <w:rFonts w:hint="eastAsia" w:ascii="宋体" w:hAnsi="宋体"/>
          <w:b/>
          <w:color w:val="000000"/>
          <w:sz w:val="24"/>
          <w:highlight w:val="none"/>
        </w:rPr>
        <w:t xml:space="preserve">12  相关业绩案例一览表</w:t>
      </w:r>
      <w:r>
        <w:rPr>
          <w:rFonts w:ascii="宋体" w:hAnsi="宋体"/>
          <w:b/>
          <w:color w:val="000000"/>
          <w:sz w:val="24"/>
          <w:szCs w:val="20"/>
          <w:highlight w:val="none"/>
        </w:rPr>
      </w:r>
      <w:r/>
    </w:p>
    <w:p>
      <w:pPr>
        <w:pStyle w:val="1070"/>
        <w:rPr>
          <w:rFonts w:ascii="宋体" w:hAnsi="宋体"/>
          <w:color w:val="000000"/>
          <w:sz w:val="24"/>
          <w:szCs w:val="20"/>
          <w:highlight w:val="none"/>
        </w:rPr>
      </w:pPr>
      <w:r>
        <w:rPr>
          <w:rFonts w:ascii="宋体" w:hAnsi="宋体"/>
          <w:color w:val="000000"/>
          <w:sz w:val="24"/>
          <w:szCs w:val="20"/>
          <w:highlight w:val="none"/>
        </w:rPr>
      </w:r>
      <w:r/>
    </w:p>
    <w:p>
      <w:pPr>
        <w:pStyle w:val="1070"/>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8"/>
      <w:r/>
      <w:bookmarkEnd w:id="909"/>
      <w:r>
        <w:rPr>
          <w:rFonts w:ascii="宋体" w:hAnsi="宋体"/>
          <w:b/>
          <w:color w:val="000000"/>
          <w:sz w:val="32"/>
          <w:szCs w:val="32"/>
          <w:highlight w:val="none"/>
        </w:rPr>
      </w:r>
      <w:r/>
    </w:p>
    <w:p>
      <w:pPr>
        <w:pStyle w:val="107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0"/>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0"/>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0"/>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13</w:t>
      </w:r>
      <w:r>
        <w:rPr>
          <w:rFonts w:ascii="宋体" w:hAnsi="宋体"/>
          <w:b/>
          <w:color w:val="000000"/>
          <w:sz w:val="24"/>
          <w:highlight w:val="none"/>
        </w:rPr>
        <w:t xml:space="preserve">  招标文件要求提供或投标人认为应附的其他材料</w:t>
      </w:r>
      <w:r>
        <w:rPr>
          <w:rFonts w:ascii="宋体" w:hAnsi="宋体"/>
          <w:b/>
          <w:color w:val="000000"/>
          <w:sz w:val="24"/>
          <w:szCs w:val="20"/>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rPr>
          <w:rFonts w:ascii="宋体" w:hAnsi="宋体"/>
          <w:color w:val="000000"/>
          <w:sz w:val="36"/>
          <w:szCs w:val="36"/>
          <w:highlight w:val="none"/>
        </w:rPr>
      </w:pPr>
      <w:r>
        <w:rPr>
          <w:rFonts w:ascii="宋体" w:hAnsi="宋体"/>
          <w:color w:val="000000"/>
          <w:sz w:val="36"/>
          <w:szCs w:val="36"/>
          <w:highlight w:val="none"/>
        </w:rPr>
      </w:r>
      <w:r/>
    </w:p>
    <w:p>
      <w:pPr>
        <w:pStyle w:val="1070"/>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0"/>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tabs>
        <w:tab w:val="center" w:pos="4153" w:leader="none"/>
        <w:tab w:val="right" w:pos="8306" w:leader="none"/>
      </w:tabs>
      <w:rPr>
        <w:rStyle w:val="1142"/>
      </w:rPr>
      <w:framePr w:wrap="around" w:vAnchor="text" w:hAnchor="margin" w:y="1"/>
    </w:pPr>
    <w:r>
      <w:rPr>
        <w:rStyle w:val="1142"/>
      </w:rPr>
    </w:r>
    <w:r/>
  </w:p>
  <w:p>
    <w:pPr>
      <w:pStyle w:val="1118"/>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center" w:y="1"/>
    </w:pPr>
    <w:r>
      <w:fldChar w:fldCharType="begin"/>
    </w:r>
    <w:r>
      <w:rPr>
        <w:rStyle w:val="1142"/>
      </w:rPr>
      <w:instrText xml:space="preserve">PAGE  </w:instrText>
    </w:r>
    <w:r>
      <w:fldChar w:fldCharType="end"/>
    </w:r>
    <w:r>
      <w:rPr>
        <w:rStyle w:val="1142"/>
      </w:rPr>
    </w:r>
    <w:r/>
  </w:p>
  <w:p>
    <w:pPr>
      <w:pStyle w:val="1118"/>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r>
    <w:r/>
  </w:p>
  <w:p>
    <w:pPr>
      <w:pStyle w:val="1118"/>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rPr>
        <w:rStyle w:val="1142"/>
      </w:rPr>
    </w:r>
    <w:r/>
  </w:p>
  <w:p>
    <w:pPr>
      <w:pStyle w:val="1118"/>
      <w:ind w:right="360"/>
      <w:tabs>
        <w:tab w:val="center" w:pos="4153" w:leader="none"/>
        <w:tab w:val="right" w:pos="8306" w:leader="none"/>
      </w:tabs>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8"/>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3"/>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3"/>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2"/>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0"/>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7"/>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78"/>
      <w:isLgl w:val="false"/>
      <w:suff w:val="tab"/>
      <w:lvlText w:val="%1"/>
      <w:lvlJc w:val="left"/>
      <w:pPr>
        <w:pStyle w:val="1070"/>
        <w:ind w:left="680" w:hanging="680"/>
      </w:pPr>
      <w:rPr>
        <w:rFonts w:hint="eastAsia" w:ascii="宋体" w:hAnsi="宋体" w:eastAsia="宋体"/>
      </w:rPr>
    </w:lvl>
    <w:lvl w:ilvl="1">
      <w:start w:val="1"/>
      <w:numFmt w:val="decimal"/>
      <w:pStyle w:val="1279"/>
      <w:isLgl w:val="false"/>
      <w:suff w:val="tab"/>
      <w:lvlText w:val="%1.%2"/>
      <w:lvlJc w:val="left"/>
      <w:pPr>
        <w:pStyle w:val="1070"/>
        <w:ind w:left="851" w:hanging="851"/>
      </w:pPr>
      <w:rPr>
        <w:rFonts w:hint="eastAsia" w:ascii="宋体" w:hAnsi="宋体" w:eastAsia="宋体"/>
        <w:color w:val="000000"/>
      </w:rPr>
    </w:lvl>
    <w:lvl w:ilvl="2">
      <w:start w:val="1"/>
      <w:numFmt w:val="decimal"/>
      <w:pStyle w:val="1280"/>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2"/>
    <w:qFormat/>
    <w:pPr>
      <w:jc w:val="center"/>
      <w:keepLines/>
      <w:keepNext/>
      <w:spacing w:before="240" w:after="120" w:line="300" w:lineRule="auto"/>
      <w:outlineLvl w:val="0"/>
    </w:pPr>
    <w:rPr>
      <w:rFonts w:ascii="宋体"/>
      <w:b/>
      <w:sz w:val="32"/>
      <w:szCs w:val="20"/>
    </w:rPr>
  </w:style>
  <w:style w:type="paragraph" w:styleId="1072">
    <w:name w:val="标题 2"/>
    <w:basedOn w:val="1070"/>
    <w:next w:val="1070"/>
    <w:link w:val="1083"/>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70"/>
    <w:link w:val="1084"/>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5"/>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6"/>
    <w:qFormat/>
    <w:pPr>
      <w:keepLines/>
      <w:keepNext/>
      <w:spacing w:before="280" w:after="290" w:line="376" w:lineRule="atLeast"/>
      <w:outlineLvl w:val="4"/>
    </w:pPr>
    <w:rPr>
      <w:b/>
      <w:sz w:val="28"/>
      <w:szCs w:val="20"/>
    </w:rPr>
  </w:style>
  <w:style w:type="paragraph" w:styleId="1076">
    <w:name w:val="标题 6"/>
    <w:basedOn w:val="1070"/>
    <w:next w:val="1070"/>
    <w:link w:val="1087"/>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88"/>
    <w:qFormat/>
    <w:pPr>
      <w:keepLines/>
      <w:keepNext/>
      <w:spacing w:before="240" w:after="64" w:line="320" w:lineRule="atLeast"/>
      <w:outlineLvl w:val="6"/>
    </w:pPr>
    <w:rPr>
      <w:b/>
      <w:sz w:val="24"/>
      <w:szCs w:val="20"/>
    </w:rPr>
  </w:style>
  <w:style w:type="paragraph" w:styleId="1078">
    <w:name w:val="标题 8"/>
    <w:basedOn w:val="1070"/>
    <w:next w:val="1070"/>
    <w:link w:val="1089"/>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0"/>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character" w:styleId="1082">
    <w:name w:val="标题 1 Char"/>
    <w:next w:val="1082"/>
    <w:link w:val="1071"/>
    <w:qFormat/>
    <w:rPr>
      <w:rFonts w:ascii="宋体"/>
      <w:b/>
      <w:sz w:val="32"/>
    </w:rPr>
  </w:style>
  <w:style w:type="character" w:styleId="1083">
    <w:name w:val="标题 2 Char1"/>
    <w:next w:val="1083"/>
    <w:link w:val="1072"/>
    <w:qFormat/>
    <w:rPr>
      <w:rFonts w:ascii="Arial" w:hAnsi="Arial" w:eastAsia="黑体"/>
      <w:b/>
      <w:sz w:val="30"/>
      <w:lang w:val="en-US" w:eastAsia="zh-CN" w:bidi="ar-SA"/>
    </w:rPr>
  </w:style>
  <w:style w:type="character" w:styleId="1084">
    <w:name w:val="标题 3 Char1"/>
    <w:next w:val="1084"/>
    <w:link w:val="1073"/>
    <w:qFormat/>
    <w:rPr>
      <w:rFonts w:ascii="宋体" w:eastAsia="宋体"/>
      <w:b/>
      <w:sz w:val="24"/>
      <w:u w:val="single"/>
      <w:lang w:val="en-US" w:eastAsia="zh-CN" w:bidi="ar-SA"/>
    </w:rPr>
  </w:style>
  <w:style w:type="character" w:styleId="1085">
    <w:name w:val="标题 4 Char"/>
    <w:next w:val="1085"/>
    <w:link w:val="1074"/>
    <w:qFormat/>
    <w:rPr>
      <w:rFonts w:ascii="Arial" w:hAnsi="Arial" w:eastAsia="黑体"/>
      <w:b/>
      <w:sz w:val="28"/>
    </w:rPr>
  </w:style>
  <w:style w:type="character" w:styleId="1086">
    <w:name w:val="标题 5 Char"/>
    <w:next w:val="1086"/>
    <w:link w:val="1075"/>
    <w:qFormat/>
    <w:rPr>
      <w:b/>
      <w:sz w:val="28"/>
    </w:rPr>
  </w:style>
  <w:style w:type="character" w:styleId="1087">
    <w:name w:val="标题 6 Char"/>
    <w:next w:val="1087"/>
    <w:link w:val="1076"/>
    <w:qFormat/>
    <w:rPr>
      <w:rFonts w:ascii="Arial" w:hAnsi="Arial" w:eastAsia="黑体"/>
      <w:b/>
      <w:sz w:val="24"/>
    </w:rPr>
  </w:style>
  <w:style w:type="character" w:styleId="1088">
    <w:name w:val="标题 7 Char"/>
    <w:next w:val="1088"/>
    <w:link w:val="1077"/>
    <w:qFormat/>
    <w:rPr>
      <w:b/>
      <w:sz w:val="24"/>
    </w:rPr>
  </w:style>
  <w:style w:type="character" w:styleId="1089">
    <w:name w:val="标题 8 Char"/>
    <w:next w:val="1089"/>
    <w:link w:val="1078"/>
    <w:qFormat/>
    <w:rPr>
      <w:rFonts w:ascii="Arial" w:hAnsi="Arial" w:eastAsia="黑体"/>
      <w:sz w:val="24"/>
    </w:rPr>
  </w:style>
  <w:style w:type="character" w:styleId="1090">
    <w:name w:val="标题 9 Char"/>
    <w:next w:val="1090"/>
    <w:link w:val="1079"/>
    <w:qFormat/>
    <w:rPr>
      <w:rFonts w:ascii="Arial" w:hAnsi="Arial" w:eastAsia="黑体"/>
      <w:sz w:val="21"/>
    </w:rPr>
  </w:style>
  <w:style w:type="paragraph" w:styleId="1091">
    <w:name w:val="目录 7"/>
    <w:basedOn w:val="1070"/>
    <w:next w:val="1070"/>
    <w:link w:val="1070"/>
    <w:qFormat/>
    <w:pPr>
      <w:ind w:left="2520"/>
    </w:pPr>
  </w:style>
  <w:style w:type="paragraph" w:styleId="1092">
    <w:name w:val="正文缩进"/>
    <w:basedOn w:val="1070"/>
    <w:next w:val="1092"/>
    <w:link w:val="1093"/>
    <w:uiPriority w:val="99"/>
    <w:qFormat/>
    <w:pPr>
      <w:ind w:firstLine="420"/>
      <w:jc w:val="left"/>
    </w:pPr>
    <w:rPr>
      <w:rFonts w:ascii="宋体"/>
      <w:sz w:val="24"/>
    </w:rPr>
  </w:style>
  <w:style w:type="character" w:styleId="1093">
    <w:name w:val="正文缩进 Char1"/>
    <w:next w:val="1093"/>
    <w:link w:val="1092"/>
    <w:qFormat/>
    <w:rPr>
      <w:rFonts w:ascii="宋体" w:eastAsia="宋体"/>
      <w:sz w:val="24"/>
      <w:szCs w:val="24"/>
      <w:lang w:val="en-US" w:eastAsia="zh-CN" w:bidi="ar-SA"/>
    </w:rPr>
  </w:style>
  <w:style w:type="paragraph" w:styleId="1094">
    <w:name w:val="题注"/>
    <w:basedOn w:val="1070"/>
    <w:next w:val="1070"/>
    <w:link w:val="1070"/>
    <w:qFormat/>
    <w:pPr>
      <w:spacing w:line="480" w:lineRule="auto"/>
    </w:pPr>
    <w:rPr>
      <w:rFonts w:ascii="华文中宋" w:hAnsi="华文中宋" w:eastAsia="华文中宋"/>
      <w:sz w:val="36"/>
      <w:szCs w:val="20"/>
    </w:rPr>
  </w:style>
  <w:style w:type="paragraph" w:styleId="1095">
    <w:name w:val="文档结构图"/>
    <w:basedOn w:val="1070"/>
    <w:next w:val="1095"/>
    <w:link w:val="1096"/>
    <w:qFormat/>
    <w:pPr>
      <w:shd w:val="clear" w:color="auto" w:fill="000080"/>
    </w:pPr>
  </w:style>
  <w:style w:type="character" w:styleId="1096">
    <w:name w:val="文档结构图 Char"/>
    <w:next w:val="1096"/>
    <w:link w:val="1095"/>
    <w:qFormat/>
    <w:rPr>
      <w:sz w:val="21"/>
      <w:szCs w:val="24"/>
      <w:shd w:val="clear" w:color="auto" w:fill="000080"/>
    </w:rPr>
  </w:style>
  <w:style w:type="paragraph" w:styleId="1097">
    <w:name w:val="批注文字"/>
    <w:basedOn w:val="1070"/>
    <w:next w:val="1097"/>
    <w:link w:val="1098"/>
    <w:uiPriority w:val="99"/>
    <w:qFormat/>
    <w:pPr>
      <w:jc w:val="left"/>
    </w:pPr>
  </w:style>
  <w:style w:type="character" w:styleId="1098">
    <w:name w:val="批注文字 Char1"/>
    <w:next w:val="1098"/>
    <w:link w:val="1097"/>
    <w:uiPriority w:val="99"/>
    <w:qFormat/>
    <w:rPr>
      <w:sz w:val="21"/>
      <w:szCs w:val="24"/>
    </w:rPr>
  </w:style>
  <w:style w:type="paragraph" w:styleId="1099">
    <w:name w:val="正文文本 3"/>
    <w:basedOn w:val="1070"/>
    <w:next w:val="1099"/>
    <w:link w:val="1100"/>
    <w:qFormat/>
    <w:pPr>
      <w:spacing w:after="120"/>
    </w:pPr>
    <w:rPr>
      <w:sz w:val="16"/>
      <w:szCs w:val="16"/>
    </w:rPr>
  </w:style>
  <w:style w:type="character" w:styleId="1100">
    <w:name w:val="正文文本 3 Char"/>
    <w:next w:val="1100"/>
    <w:link w:val="1099"/>
    <w:qFormat/>
    <w:rPr>
      <w:sz w:val="16"/>
      <w:szCs w:val="16"/>
    </w:rPr>
  </w:style>
  <w:style w:type="paragraph" w:styleId="1101">
    <w:name w:val="正文文本"/>
    <w:basedOn w:val="1070"/>
    <w:next w:val="1101"/>
    <w:link w:val="1102"/>
    <w:qFormat/>
    <w:pPr>
      <w:spacing w:before="120" w:line="22" w:lineRule="atLeast"/>
      <w:tabs>
        <w:tab w:val="left" w:pos="567" w:leader="none"/>
      </w:tabs>
    </w:pPr>
    <w:rPr>
      <w:rFonts w:ascii="宋体" w:hAnsi="宋体"/>
      <w:sz w:val="24"/>
    </w:rPr>
  </w:style>
  <w:style w:type="character" w:styleId="1102">
    <w:name w:val="正文文本 Char"/>
    <w:next w:val="1102"/>
    <w:link w:val="1101"/>
    <w:qFormat/>
    <w:rPr>
      <w:rFonts w:ascii="宋体" w:hAnsi="宋体"/>
      <w:sz w:val="24"/>
      <w:szCs w:val="24"/>
    </w:rPr>
  </w:style>
  <w:style w:type="paragraph" w:styleId="1103">
    <w:name w:val="正文文本缩进"/>
    <w:basedOn w:val="1070"/>
    <w:next w:val="1103"/>
    <w:link w:val="1104"/>
    <w:qFormat/>
    <w:pPr>
      <w:ind w:firstLine="570"/>
      <w:spacing w:line="360" w:lineRule="auto"/>
    </w:pPr>
    <w:rPr>
      <w:sz w:val="24"/>
    </w:rPr>
  </w:style>
  <w:style w:type="character" w:styleId="1104">
    <w:name w:val="正文文本缩进 Char2"/>
    <w:next w:val="1104"/>
    <w:link w:val="1103"/>
    <w:qFormat/>
    <w:rPr>
      <w:rFonts w:eastAsia="宋体"/>
      <w:sz w:val="24"/>
      <w:szCs w:val="24"/>
      <w:lang w:val="en-US" w:eastAsia="zh-CN" w:bidi="ar-SA"/>
    </w:rPr>
  </w:style>
  <w:style w:type="paragraph" w:styleId="1105">
    <w:name w:val="列表 2"/>
    <w:basedOn w:val="1070"/>
    <w:next w:val="1105"/>
    <w:link w:val="1070"/>
    <w:qFormat/>
    <w:pPr>
      <w:ind w:left="100" w:hanging="200"/>
    </w:pPr>
  </w:style>
  <w:style w:type="paragraph" w:styleId="1106">
    <w:name w:val="文本块"/>
    <w:basedOn w:val="1070"/>
    <w:next w:val="1106"/>
    <w:link w:val="1070"/>
    <w:qFormat/>
    <w:pPr>
      <w:ind w:left="480" w:right="-341" w:firstLine="513"/>
      <w:widowControl/>
    </w:pPr>
    <w:rPr>
      <w:sz w:val="24"/>
      <w:szCs w:val="20"/>
    </w:rPr>
  </w:style>
  <w:style w:type="paragraph" w:styleId="1107">
    <w:name w:val="目录 5"/>
    <w:basedOn w:val="1070"/>
    <w:next w:val="1070"/>
    <w:link w:val="1070"/>
    <w:qFormat/>
    <w:pPr>
      <w:ind w:left="1680"/>
    </w:pPr>
  </w:style>
  <w:style w:type="paragraph" w:styleId="1108">
    <w:name w:val="目录 3"/>
    <w:basedOn w:val="1070"/>
    <w:next w:val="1070"/>
    <w:link w:val="1070"/>
    <w:uiPriority w:val="39"/>
    <w:qFormat/>
    <w:pPr>
      <w:ind w:left="840"/>
    </w:pPr>
  </w:style>
  <w:style w:type="paragraph" w:styleId="1109">
    <w:name w:val="纯文本"/>
    <w:basedOn w:val="1070"/>
    <w:next w:val="1092"/>
    <w:link w:val="1110"/>
    <w:uiPriority w:val="99"/>
    <w:qFormat/>
    <w:rPr>
      <w:rFonts w:hint="eastAsia" w:ascii="宋体" w:hAnsi="Courier New"/>
      <w:szCs w:val="20"/>
    </w:rPr>
  </w:style>
  <w:style w:type="character" w:styleId="1110">
    <w:name w:val="纯文本 Char"/>
    <w:next w:val="1110"/>
    <w:link w:val="1109"/>
    <w:qFormat/>
    <w:rPr>
      <w:rFonts w:hint="eastAsia" w:ascii="宋体" w:hAnsi="Courier New" w:eastAsia="宋体" w:cs="宋体"/>
      <w:sz w:val="21"/>
    </w:rPr>
  </w:style>
  <w:style w:type="paragraph" w:styleId="1111">
    <w:name w:val="目录 8"/>
    <w:basedOn w:val="1070"/>
    <w:next w:val="1070"/>
    <w:link w:val="1070"/>
    <w:qFormat/>
    <w:pPr>
      <w:ind w:left="2940"/>
    </w:pPr>
  </w:style>
  <w:style w:type="paragraph" w:styleId="1112">
    <w:name w:val="日期"/>
    <w:basedOn w:val="1070"/>
    <w:next w:val="1070"/>
    <w:link w:val="1113"/>
    <w:qFormat/>
    <w:pPr>
      <w:ind w:left="100"/>
    </w:pPr>
    <w:rPr>
      <w:rFonts w:ascii="仿宋_GB2312" w:hAnsi="宋体" w:eastAsia="仿宋_GB2312"/>
      <w:color w:val="000000"/>
      <w:sz w:val="24"/>
    </w:rPr>
  </w:style>
  <w:style w:type="character" w:styleId="1113">
    <w:name w:val="日期 Char"/>
    <w:next w:val="1113"/>
    <w:link w:val="1112"/>
    <w:qFormat/>
    <w:rPr>
      <w:rFonts w:ascii="仿宋_GB2312" w:hAnsi="宋体" w:eastAsia="仿宋_GB2312"/>
      <w:color w:val="000000"/>
      <w:sz w:val="24"/>
      <w:szCs w:val="24"/>
    </w:rPr>
  </w:style>
  <w:style w:type="paragraph" w:styleId="1114">
    <w:name w:val="正文文本缩进 2"/>
    <w:basedOn w:val="1070"/>
    <w:next w:val="1114"/>
    <w:link w:val="1115"/>
    <w:qFormat/>
    <w:pPr>
      <w:ind w:firstLine="480"/>
    </w:pPr>
    <w:rPr>
      <w:rFonts w:ascii="仿宋_GB2312" w:eastAsia="仿宋_GB2312"/>
      <w:sz w:val="24"/>
    </w:rPr>
  </w:style>
  <w:style w:type="character" w:styleId="1115">
    <w:name w:val="正文文本缩进 2 Char"/>
    <w:next w:val="1115"/>
    <w:link w:val="1114"/>
    <w:qFormat/>
    <w:rPr>
      <w:rFonts w:ascii="仿宋_GB2312" w:eastAsia="仿宋_GB2312"/>
      <w:sz w:val="24"/>
      <w:szCs w:val="24"/>
    </w:rPr>
  </w:style>
  <w:style w:type="paragraph" w:styleId="1116">
    <w:name w:val="批注框文本"/>
    <w:basedOn w:val="1070"/>
    <w:next w:val="1116"/>
    <w:link w:val="1117"/>
    <w:qFormat/>
    <w:rPr>
      <w:sz w:val="18"/>
      <w:szCs w:val="18"/>
    </w:rPr>
  </w:style>
  <w:style w:type="character" w:styleId="1117">
    <w:name w:val="批注框文本 Char"/>
    <w:next w:val="1117"/>
    <w:link w:val="1116"/>
    <w:qFormat/>
    <w:rPr>
      <w:sz w:val="18"/>
      <w:szCs w:val="18"/>
    </w:rPr>
  </w:style>
  <w:style w:type="paragraph" w:styleId="1118">
    <w:name w:val="页脚"/>
    <w:basedOn w:val="1070"/>
    <w:next w:val="1118"/>
    <w:link w:val="1119"/>
    <w:uiPriority w:val="99"/>
    <w:qFormat/>
    <w:pPr>
      <w:jc w:val="left"/>
      <w:tabs>
        <w:tab w:val="center" w:pos="4153" w:leader="none"/>
        <w:tab w:val="right" w:pos="8306" w:leader="none"/>
      </w:tabs>
    </w:pPr>
    <w:rPr>
      <w:rFonts w:ascii="宋体"/>
      <w:sz w:val="18"/>
      <w:szCs w:val="20"/>
    </w:rPr>
  </w:style>
  <w:style w:type="character" w:styleId="1119">
    <w:name w:val="页脚 Char1"/>
    <w:next w:val="1119"/>
    <w:link w:val="1118"/>
    <w:uiPriority w:val="99"/>
    <w:qFormat/>
    <w:rPr>
      <w:rFonts w:ascii="宋体" w:eastAsia="宋体"/>
      <w:sz w:val="18"/>
      <w:lang w:val="en-US" w:eastAsia="zh-CN" w:bidi="ar-SA"/>
    </w:rPr>
  </w:style>
  <w:style w:type="paragraph" w:styleId="1120">
    <w:name w:val="页眉"/>
    <w:basedOn w:val="1070"/>
    <w:next w:val="1120"/>
    <w:link w:val="1121"/>
    <w:qFormat/>
    <w:pPr>
      <w:jc w:val="center"/>
      <w:tabs>
        <w:tab w:val="center" w:pos="4153" w:leader="none"/>
        <w:tab w:val="right" w:pos="8306" w:leader="none"/>
      </w:tabs>
      <w:pBdr>
        <w:bottom w:val="single" w:color="000000" w:sz="6" w:space="1"/>
      </w:pBdr>
    </w:pPr>
    <w:rPr>
      <w:sz w:val="18"/>
      <w:szCs w:val="18"/>
    </w:rPr>
  </w:style>
  <w:style w:type="character" w:styleId="1121">
    <w:name w:val="页眉 Char1"/>
    <w:next w:val="1121"/>
    <w:link w:val="1120"/>
    <w:qFormat/>
    <w:rPr>
      <w:rFonts w:eastAsia="宋体"/>
      <w:sz w:val="18"/>
      <w:szCs w:val="18"/>
      <w:lang w:val="en-US" w:eastAsia="zh-CN" w:bidi="ar-SA"/>
    </w:rPr>
  </w:style>
  <w:style w:type="paragraph" w:styleId="1122">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3">
    <w:name w:val="目录 4"/>
    <w:basedOn w:val="1070"/>
    <w:next w:val="1070"/>
    <w:link w:val="1070"/>
    <w:qFormat/>
    <w:pPr>
      <w:ind w:left="1260"/>
    </w:pPr>
  </w:style>
  <w:style w:type="paragraph" w:styleId="1124">
    <w:name w:val="目录 6"/>
    <w:basedOn w:val="1070"/>
    <w:next w:val="1070"/>
    <w:link w:val="1070"/>
    <w:qFormat/>
    <w:pPr>
      <w:ind w:left="2100"/>
    </w:pPr>
  </w:style>
  <w:style w:type="paragraph" w:styleId="1125">
    <w:name w:val="正文文本缩进 3"/>
    <w:basedOn w:val="1070"/>
    <w:next w:val="1125"/>
    <w:link w:val="1126"/>
    <w:qFormat/>
    <w:pPr>
      <w:ind w:left="720" w:firstLine="480"/>
      <w:jc w:val="left"/>
      <w:spacing w:before="120" w:line="22" w:lineRule="atLeast"/>
    </w:pPr>
    <w:rPr>
      <w:rFonts w:ascii="宋体"/>
      <w:sz w:val="24"/>
      <w:szCs w:val="20"/>
    </w:rPr>
  </w:style>
  <w:style w:type="character" w:styleId="1126">
    <w:name w:val="正文文本缩进 3 Char"/>
    <w:next w:val="1126"/>
    <w:link w:val="1125"/>
    <w:qFormat/>
    <w:rPr>
      <w:rFonts w:ascii="宋体"/>
      <w:sz w:val="24"/>
    </w:rPr>
  </w:style>
  <w:style w:type="paragraph" w:styleId="1127">
    <w:name w:val="目录 2"/>
    <w:basedOn w:val="1070"/>
    <w:next w:val="1070"/>
    <w:link w:val="1070"/>
    <w:uiPriority w:val="39"/>
    <w:qFormat/>
    <w:pPr>
      <w:ind w:left="420"/>
      <w:spacing w:line="312" w:lineRule="auto"/>
      <w:tabs>
        <w:tab w:val="right" w:pos="8937" w:leader="dot"/>
      </w:tabs>
    </w:pPr>
  </w:style>
  <w:style w:type="paragraph" w:styleId="1128">
    <w:name w:val="目录 9"/>
    <w:basedOn w:val="1070"/>
    <w:next w:val="1070"/>
    <w:link w:val="1070"/>
    <w:qFormat/>
    <w:pPr>
      <w:ind w:left="3360"/>
    </w:pPr>
  </w:style>
  <w:style w:type="paragraph" w:styleId="1129">
    <w:name w:val="HTML 预设格式"/>
    <w:basedOn w:val="1070"/>
    <w:next w:val="1129"/>
    <w:link w:val="11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0">
    <w:name w:val="HTML 预设格式 Char"/>
    <w:next w:val="1130"/>
    <w:link w:val="1129"/>
    <w:qFormat/>
    <w:rPr>
      <w:rFonts w:ascii="宋体" w:hAnsi="宋体" w:cs="宋体"/>
      <w:sz w:val="24"/>
      <w:szCs w:val="24"/>
    </w:rPr>
  </w:style>
  <w:style w:type="paragraph" w:styleId="1131">
    <w:name w:val="普通(网站)"/>
    <w:basedOn w:val="1070"/>
    <w:next w:val="1131"/>
    <w:link w:val="1070"/>
    <w:uiPriority w:val="99"/>
    <w:unhideWhenUsed/>
    <w:qFormat/>
    <w:pPr>
      <w:jc w:val="left"/>
      <w:spacing w:before="100" w:beforeAutospacing="1" w:after="100" w:afterAutospacing="1"/>
      <w:widowControl/>
    </w:pPr>
    <w:rPr>
      <w:rFonts w:ascii="宋体" w:hAnsi="宋体" w:cs="宋体"/>
      <w:sz w:val="24"/>
    </w:rPr>
  </w:style>
  <w:style w:type="paragraph" w:styleId="1132">
    <w:name w:val="索引 1"/>
    <w:basedOn w:val="1070"/>
    <w:next w:val="1070"/>
    <w:link w:val="1070"/>
    <w:qFormat/>
    <w:rPr>
      <w:szCs w:val="20"/>
    </w:rPr>
  </w:style>
  <w:style w:type="paragraph" w:styleId="1133">
    <w:name w:val="标题"/>
    <w:basedOn w:val="1070"/>
    <w:next w:val="1133"/>
    <w:link w:val="1134"/>
    <w:qFormat/>
    <w:pPr>
      <w:jc w:val="center"/>
      <w:outlineLvl w:val="0"/>
    </w:pPr>
    <w:rPr>
      <w:b/>
      <w:sz w:val="32"/>
      <w:szCs w:val="20"/>
    </w:rPr>
  </w:style>
  <w:style w:type="character" w:styleId="1134">
    <w:name w:val="标题 Char1"/>
    <w:next w:val="1134"/>
    <w:link w:val="1133"/>
    <w:qFormat/>
    <w:rPr>
      <w:b/>
      <w:sz w:val="32"/>
    </w:rPr>
  </w:style>
  <w:style w:type="paragraph" w:styleId="1135">
    <w:name w:val="批注主题"/>
    <w:basedOn w:val="1097"/>
    <w:next w:val="1097"/>
    <w:link w:val="1136"/>
    <w:qFormat/>
    <w:rPr>
      <w:b/>
      <w:bCs/>
    </w:rPr>
  </w:style>
  <w:style w:type="character" w:styleId="1136">
    <w:name w:val="批注主题 Char"/>
    <w:next w:val="1136"/>
    <w:link w:val="1135"/>
    <w:qFormat/>
    <w:rPr>
      <w:rFonts w:ascii="Times New Roman" w:hAnsi="Times New Roman" w:eastAsia="宋体" w:cs="Times New Roman"/>
      <w:b/>
      <w:bCs/>
      <w:sz w:val="21"/>
      <w:szCs w:val="24"/>
      <w:lang w:val="en-US" w:eastAsia="zh-CN" w:bidi="ar-SA"/>
    </w:rPr>
  </w:style>
  <w:style w:type="paragraph" w:styleId="1137">
    <w:name w:val="正文首行缩进 2"/>
    <w:basedOn w:val="1103"/>
    <w:next w:val="1137"/>
    <w:link w:val="1138"/>
    <w:qFormat/>
    <w:pPr>
      <w:ind w:left="420" w:firstLine="420"/>
      <w:spacing w:after="120" w:line="480" w:lineRule="exact"/>
    </w:pPr>
    <w:rPr>
      <w:szCs w:val="20"/>
    </w:rPr>
  </w:style>
  <w:style w:type="character" w:styleId="1138">
    <w:name w:val="正文首行缩进 2 Char"/>
    <w:next w:val="1138"/>
    <w:link w:val="1137"/>
    <w:qFormat/>
    <w:rPr>
      <w:rFonts w:eastAsia="宋体"/>
      <w:sz w:val="24"/>
      <w:szCs w:val="24"/>
      <w:lang w:val="en-US" w:eastAsia="zh-CN" w:bidi="ar-SA"/>
    </w:rPr>
  </w:style>
  <w:style w:type="table" w:styleId="1139">
    <w:name w:val="网格型"/>
    <w:basedOn w:val="1081"/>
    <w:next w:val="1139"/>
    <w:link w:val="1070"/>
    <w:uiPriority w:val="39"/>
    <w:qFormat/>
    <w:tblPr/>
  </w:style>
  <w:style w:type="table" w:styleId="1140">
    <w:name w:val="中等深浅网格 1 - 强调文字颜色 2"/>
    <w:basedOn w:val="1081"/>
    <w:next w:val="1140"/>
    <w:link w:val="1070"/>
    <w:qFormat/>
    <w:rPr>
      <w:sz w:val="21"/>
      <w:szCs w:val="24"/>
    </w:rPr>
    <w:tblPr/>
  </w:style>
  <w:style w:type="character" w:styleId="1141">
    <w:name w:val="要点"/>
    <w:next w:val="1141"/>
    <w:link w:val="1070"/>
    <w:qFormat/>
    <w:rPr>
      <w:b/>
      <w:bCs/>
    </w:rPr>
  </w:style>
  <w:style w:type="character" w:styleId="1142">
    <w:name w:val="页码"/>
    <w:next w:val="1142"/>
    <w:link w:val="1070"/>
    <w:qFormat/>
  </w:style>
  <w:style w:type="character" w:styleId="1143">
    <w:name w:val="已访问的超链接"/>
    <w:next w:val="1143"/>
    <w:link w:val="1070"/>
    <w:qFormat/>
    <w:rPr>
      <w:color w:val="800080"/>
      <w:u w:val="single"/>
    </w:rPr>
  </w:style>
  <w:style w:type="character" w:styleId="1144">
    <w:name w:val="强调"/>
    <w:next w:val="1144"/>
    <w:link w:val="1070"/>
    <w:qFormat/>
    <w:rPr>
      <w:color w:val="cc0033"/>
    </w:rPr>
  </w:style>
  <w:style w:type="character" w:styleId="1145">
    <w:name w:val="超链接"/>
    <w:next w:val="1145"/>
    <w:link w:val="1070"/>
    <w:uiPriority w:val="99"/>
    <w:qFormat/>
    <w:rPr>
      <w:color w:val="0000ff"/>
      <w:u w:val="single"/>
    </w:rPr>
  </w:style>
  <w:style w:type="character" w:styleId="1146">
    <w:name w:val="批注引用"/>
    <w:next w:val="1146"/>
    <w:link w:val="1070"/>
    <w:uiPriority w:val="99"/>
    <w:qFormat/>
    <w:rPr>
      <w:sz w:val="21"/>
      <w:szCs w:val="21"/>
    </w:rPr>
  </w:style>
  <w:style w:type="character" w:styleId="1147">
    <w:name w:val="HTML 引文"/>
    <w:next w:val="1147"/>
    <w:link w:val="1070"/>
    <w:qFormat/>
    <w:rPr>
      <w:i/>
      <w:iCs/>
    </w:rPr>
  </w:style>
  <w:style w:type="character" w:styleId="1148">
    <w:name w:val="批注文字 字符"/>
    <w:next w:val="1148"/>
    <w:link w:val="1070"/>
    <w:uiPriority w:val="99"/>
    <w:qFormat/>
    <w:rPr>
      <w:rFonts w:ascii="Times New Roman" w:hAnsi="Times New Roman" w:eastAsia="宋体" w:cs="Times New Roman"/>
      <w:sz w:val="24"/>
      <w:lang w:val="en-US" w:eastAsia="zh-CN" w:bidi="ar-SA"/>
    </w:rPr>
  </w:style>
  <w:style w:type="character" w:styleId="1149">
    <w:name w:val="c21"/>
    <w:next w:val="1149"/>
    <w:link w:val="1070"/>
    <w:qFormat/>
    <w:rPr>
      <w:rFonts w:ascii="ˎ̥" w:hAnsi="ˎ̥"/>
      <w:color w:val="000000"/>
      <w:sz w:val="20"/>
      <w:szCs w:val="20"/>
      <w:u w:val="none"/>
    </w:rPr>
  </w:style>
  <w:style w:type="character" w:styleId="1150">
    <w:name w:val="title4"/>
    <w:next w:val="1150"/>
    <w:link w:val="1070"/>
    <w:qFormat/>
    <w:rPr>
      <w:b/>
      <w:bCs/>
      <w:color w:val="1d87b3"/>
      <w:sz w:val="15"/>
      <w:szCs w:val="15"/>
    </w:rPr>
  </w:style>
  <w:style w:type="character" w:styleId="1151">
    <w:name w:val="标题 2 Char Char"/>
    <w:next w:val="1151"/>
    <w:link w:val="1070"/>
    <w:qFormat/>
    <w:rPr>
      <w:rFonts w:ascii="Arial" w:hAnsi="Arial" w:eastAsia="黑体"/>
      <w:b/>
      <w:bCs/>
      <w:sz w:val="32"/>
      <w:szCs w:val="32"/>
      <w:lang w:val="en-US" w:eastAsia="zh-CN" w:bidi="ar-SA"/>
    </w:rPr>
  </w:style>
  <w:style w:type="character" w:styleId="1152">
    <w:name w:val="black1"/>
    <w:next w:val="1152"/>
    <w:link w:val="1070"/>
    <w:qFormat/>
    <w:rPr>
      <w:color w:val="000000"/>
    </w:rPr>
  </w:style>
  <w:style w:type="character" w:styleId="1153">
    <w:name w:val="street-address"/>
    <w:next w:val="1153"/>
    <w:link w:val="1070"/>
    <w:qFormat/>
  </w:style>
  <w:style w:type="character" w:styleId="1154">
    <w:name w:val="locality"/>
    <w:next w:val="1154"/>
    <w:link w:val="1070"/>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70"/>
    <w:next w:val="1156"/>
    <w:link w:val="1155"/>
    <w:qFormat/>
    <w:pPr>
      <w:ind w:firstLine="480"/>
      <w:spacing w:line="480" w:lineRule="exact"/>
    </w:pPr>
    <w:rPr>
      <w:rFonts w:ascii="宋体" w:hAnsi="宋体"/>
      <w:sz w:val="24"/>
    </w:rPr>
  </w:style>
  <w:style w:type="character" w:styleId="1157">
    <w:name w:val="Char Char11"/>
    <w:next w:val="1157"/>
    <w:link w:val="1070"/>
    <w:qFormat/>
    <w:rPr>
      <w:rFonts w:ascii="宋体" w:eastAsia="宋体"/>
      <w:b/>
      <w:sz w:val="24"/>
      <w:u w:val="single"/>
      <w:lang w:val="en-US" w:eastAsia="zh-CN" w:bidi="ar-SA"/>
    </w:rPr>
  </w:style>
  <w:style w:type="character" w:styleId="1158">
    <w:name w:val="txt"/>
    <w:next w:val="1158"/>
    <w:link w:val="1070"/>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70"/>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70"/>
    <w:qFormat/>
    <w:rPr>
      <w:rFonts w:ascii="宋体" w:hAnsi="Courier New" w:eastAsia="宋体"/>
      <w:sz w:val="21"/>
      <w:lang w:val="en-US" w:eastAsia="zh-CN" w:bidi="ar-SA"/>
    </w:rPr>
  </w:style>
  <w:style w:type="character" w:styleId="1162">
    <w:name w:val="chanpin1"/>
    <w:next w:val="1162"/>
    <w:link w:val="1070"/>
    <w:qFormat/>
    <w:rPr>
      <w:rFonts w:ascii="ˎ̥" w:hAnsi="ˎ̥"/>
      <w:color w:val="000000"/>
      <w:sz w:val="20"/>
      <w:szCs w:val="20"/>
      <w:u w:val="none"/>
    </w:rPr>
  </w:style>
  <w:style w:type="character" w:styleId="1163">
    <w:name w:val="列出段落 Char1"/>
    <w:next w:val="1163"/>
    <w:link w:val="1164"/>
    <w:uiPriority w:val="34"/>
    <w:qFormat/>
    <w:rPr>
      <w:rFonts w:ascii="Calibri" w:hAnsi="Calibri" w:eastAsia="宋体"/>
      <w:sz w:val="21"/>
      <w:szCs w:val="22"/>
      <w:lang w:val="en-US" w:eastAsia="zh-CN" w:bidi="ar-SA"/>
    </w:rPr>
  </w:style>
  <w:style w:type="paragraph" w:styleId="1164">
    <w:name w:val="列出段落"/>
    <w:basedOn w:val="1070"/>
    <w:next w:val="1164"/>
    <w:link w:val="1163"/>
    <w:uiPriority w:val="34"/>
    <w:qFormat/>
    <w:pPr>
      <w:ind w:firstLine="420"/>
    </w:pPr>
    <w:rPr>
      <w:rFonts w:ascii="Calibri" w:hAnsi="Calibri"/>
      <w:szCs w:val="22"/>
    </w:rPr>
  </w:style>
  <w:style w:type="character" w:styleId="1165">
    <w:name w:val="标题 3 Char Char"/>
    <w:next w:val="1165"/>
    <w:link w:val="1070"/>
    <w:qFormat/>
    <w:rPr>
      <w:rFonts w:eastAsia="宋体"/>
      <w:b/>
      <w:bCs/>
      <w:sz w:val="32"/>
      <w:szCs w:val="32"/>
      <w:lang w:val="en-US" w:eastAsia="zh-CN" w:bidi="ar-SA"/>
    </w:rPr>
  </w:style>
  <w:style w:type="character" w:styleId="1166">
    <w:name w:val="段1 Char"/>
    <w:next w:val="1166"/>
    <w:link w:val="1070"/>
    <w:qFormat/>
    <w:rPr>
      <w:rFonts w:ascii="宋体" w:eastAsia="宋体"/>
      <w:sz w:val="24"/>
      <w:lang w:val="en-US" w:eastAsia="zh-CN" w:bidi="ar-SA"/>
    </w:rPr>
  </w:style>
  <w:style w:type="character" w:styleId="1167">
    <w:name w:val="chanpin拷贝"/>
    <w:next w:val="1167"/>
    <w:link w:val="1070"/>
    <w:qFormat/>
  </w:style>
  <w:style w:type="character" w:styleId="1168">
    <w:name w:val="纯文本 Char1"/>
    <w:next w:val="1168"/>
    <w:link w:val="1070"/>
    <w:uiPriority w:val="99"/>
    <w:qFormat/>
    <w:rPr>
      <w:rFonts w:ascii="宋体" w:hAnsi="Courier New" w:eastAsia="宋体"/>
      <w:sz w:val="21"/>
      <w:lang w:val="en-US" w:eastAsia="zh-CN" w:bidi="ar-SA"/>
    </w:rPr>
  </w:style>
  <w:style w:type="character" w:styleId="1169">
    <w:name w:val="apple-style-span"/>
    <w:next w:val="1169"/>
    <w:link w:val="1070"/>
    <w:qFormat/>
    <w:rPr>
      <w:rFonts w:cs="Times New Roman"/>
    </w:rPr>
  </w:style>
  <w:style w:type="paragraph" w:styleId="1170">
    <w:name w:val="二级条标题"/>
    <w:basedOn w:val="1171"/>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70"/>
    <w:link w:val="1070"/>
    <w:qFormat/>
    <w:pPr>
      <w:numPr>
        <w:ilvl w:val="1"/>
      </w:numPr>
      <w:ind w:left="0" w:hanging="840"/>
      <w:tabs>
        <w:tab w:val="left" w:pos="360" w:leader="none"/>
        <w:tab w:val="left" w:pos="840" w:leader="none"/>
      </w:tabs>
      <w:outlineLvl w:val="1"/>
    </w:pPr>
  </w:style>
  <w:style w:type="paragraph" w:styleId="1172">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70"/>
    <w:next w:val="1173"/>
    <w:link w:val="1070"/>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70"/>
    <w:next w:val="1174"/>
    <w:link w:val="1070"/>
    <w:qFormat/>
    <w:rPr>
      <w:rFonts w:ascii="Tahoma" w:hAnsi="Tahoma"/>
      <w:sz w:val="24"/>
      <w:szCs w:val="20"/>
    </w:rPr>
  </w:style>
  <w:style w:type="paragraph" w:styleId="1175">
    <w:name w:val="Char3 Char Char Char"/>
    <w:basedOn w:val="1070"/>
    <w:next w:val="1175"/>
    <w:link w:val="1070"/>
    <w:qFormat/>
    <w:rPr>
      <w:rFonts w:ascii="Tahoma" w:hAnsi="Tahoma"/>
      <w:sz w:val="24"/>
      <w:szCs w:val="20"/>
    </w:rPr>
  </w:style>
  <w:style w:type="paragraph" w:styleId="1176">
    <w:name w:val="font6"/>
    <w:basedOn w:val="1070"/>
    <w:next w:val="1176"/>
    <w:link w:val="1070"/>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70"/>
    <w:qFormat/>
    <w:pPr>
      <w:numPr>
        <w:numId w:val="3"/>
      </w:numPr>
    </w:pPr>
  </w:style>
  <w:style w:type="paragraph" w:styleId="1178">
    <w:name w:val="项目编号1"/>
    <w:basedOn w:val="1070"/>
    <w:next w:val="1178"/>
    <w:link w:val="1070"/>
    <w:qFormat/>
    <w:pPr>
      <w:numPr>
        <w:ilvl w:val="0"/>
        <w:numId w:val="2"/>
      </w:numPr>
      <w:spacing w:before="100" w:beforeAutospacing="1" w:after="100" w:afterAutospacing="1" w:line="360" w:lineRule="auto"/>
    </w:pPr>
    <w:rPr>
      <w:sz w:val="24"/>
    </w:rPr>
  </w:style>
  <w:style w:type="paragraph" w:styleId="1179">
    <w:name w:val="图中文字"/>
    <w:basedOn w:val="1070"/>
    <w:next w:val="1179"/>
    <w:link w:val="1070"/>
    <w:qFormat/>
    <w:pPr>
      <w:jc w:val="center"/>
      <w:spacing w:line="0" w:lineRule="atLeast"/>
    </w:pPr>
    <w:rPr>
      <w:sz w:val="24"/>
      <w:szCs w:val="20"/>
    </w:rPr>
  </w:style>
  <w:style w:type="paragraph" w:styleId="1180">
    <w:name w:val="xl46"/>
    <w:basedOn w:val="1070"/>
    <w:next w:val="1180"/>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70"/>
    <w:next w:val="1181"/>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70"/>
    <w:next w:val="1182"/>
    <w:link w:val="1070"/>
    <w:qFormat/>
    <w:rPr>
      <w:rFonts w:ascii="Tahoma" w:hAnsi="Tahoma"/>
      <w:sz w:val="24"/>
      <w:szCs w:val="20"/>
    </w:rPr>
  </w:style>
  <w:style w:type="paragraph" w:styleId="1183">
    <w:name w:val="xl35"/>
    <w:basedOn w:val="1070"/>
    <w:next w:val="1183"/>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70"/>
    <w:next w:val="118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70"/>
    <w:next w:val="118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70"/>
    <w:next w:val="1186"/>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70"/>
    <w:next w:val="1187"/>
    <w:link w:val="1070"/>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70"/>
    <w:next w:val="1188"/>
    <w:link w:val="1070"/>
    <w:qFormat/>
    <w:pPr>
      <w:ind w:firstLine="200"/>
      <w:spacing w:line="360" w:lineRule="auto"/>
    </w:pPr>
    <w:rPr>
      <w:rFonts w:eastAsia="仿宋_GB2312"/>
      <w:sz w:val="24"/>
    </w:rPr>
  </w:style>
  <w:style w:type="paragraph" w:styleId="1189">
    <w:name w:val="xl38"/>
    <w:basedOn w:val="1070"/>
    <w:next w:val="118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70"/>
    <w:next w:val="1190"/>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70"/>
    <w:next w:val="1191"/>
    <w:link w:val="1070"/>
    <w:qFormat/>
    <w:pPr>
      <w:ind w:left="360" w:hanging="360"/>
      <w:jc w:val="left"/>
      <w:widowControl/>
    </w:pPr>
    <w:rPr>
      <w:rFonts w:ascii="宋体" w:hAnsi="宋体" w:cs="宋体"/>
      <w:b/>
      <w:bCs/>
      <w:color w:val="000000"/>
      <w:sz w:val="18"/>
      <w:szCs w:val="18"/>
    </w:rPr>
  </w:style>
  <w:style w:type="paragraph" w:styleId="1192">
    <w:name w:val="正文列项_数字"/>
    <w:basedOn w:val="1070"/>
    <w:next w:val="1192"/>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70"/>
    <w:next w:val="119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70"/>
    <w:next w:val="119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70"/>
    <w:next w:val="119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70"/>
    <w:next w:val="1196"/>
    <w:link w:val="1070"/>
    <w:qFormat/>
    <w:pPr>
      <w:jc w:val="left"/>
      <w:spacing w:before="100" w:beforeAutospacing="1" w:after="100" w:afterAutospacing="1"/>
      <w:widowControl/>
    </w:pPr>
    <w:rPr>
      <w:sz w:val="36"/>
      <w:szCs w:val="36"/>
    </w:rPr>
  </w:style>
  <w:style w:type="paragraph" w:styleId="1197">
    <w:name w:val="Char"/>
    <w:basedOn w:val="1070"/>
    <w:next w:val="1197"/>
    <w:link w:val="1070"/>
    <w:qFormat/>
    <w:pPr>
      <w:tabs>
        <w:tab w:val="left" w:pos="360" w:leader="none"/>
      </w:tabs>
    </w:pPr>
    <w:rPr>
      <w:sz w:val="24"/>
    </w:rPr>
  </w:style>
  <w:style w:type="paragraph" w:styleId="1198">
    <w:name w:val="Char Char Char Char Char Char Char Char Char Char Char Char Char Char Char Char"/>
    <w:basedOn w:val="1070"/>
    <w:next w:val="1198"/>
    <w:link w:val="1070"/>
    <w:qFormat/>
    <w:pPr>
      <w:jc w:val="center"/>
      <w:spacing w:after="160" w:line="240" w:lineRule="exact"/>
      <w:widowControl/>
    </w:pPr>
    <w:rPr>
      <w:rFonts w:ascii="宋体" w:hAnsi="宋体"/>
      <w:b/>
      <w:sz w:val="30"/>
      <w:szCs w:val="30"/>
      <w:lang w:eastAsia="en-US"/>
    </w:rPr>
  </w:style>
  <w:style w:type="paragraph" w:styleId="1199">
    <w:name w:val="xl45"/>
    <w:basedOn w:val="1070"/>
    <w:next w:val="1199"/>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70"/>
    <w:next w:val="1200"/>
    <w:link w:val="1070"/>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5"/>
    <w:next w:val="1201"/>
    <w:link w:val="1070"/>
    <w:qFormat/>
    <w:rPr>
      <w:rFonts w:ascii="Tahoma" w:hAnsi="Tahoma"/>
      <w:sz w:val="24"/>
    </w:rPr>
  </w:style>
  <w:style w:type="paragraph" w:styleId="1202">
    <w:name w:val="xl26"/>
    <w:basedOn w:val="1070"/>
    <w:next w:val="1202"/>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70"/>
    <w:next w:val="120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70"/>
    <w:next w:val="1204"/>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70"/>
    <w:next w:val="1205"/>
    <w:link w:val="1070"/>
    <w:qFormat/>
    <w:pPr>
      <w:jc w:val="left"/>
    </w:pPr>
    <w:rPr>
      <w:rFonts w:ascii="宋体" w:hAnsi="宋体"/>
      <w:szCs w:val="20"/>
    </w:rPr>
  </w:style>
  <w:style w:type="paragraph" w:styleId="1206">
    <w:name w:val="Char1 Char Char Char1"/>
    <w:basedOn w:val="1070"/>
    <w:next w:val="1206"/>
    <w:link w:val="1070"/>
    <w:qFormat/>
    <w:rPr>
      <w:rFonts w:ascii="Tahoma" w:hAnsi="Tahoma" w:cs="仿宋_GB2312"/>
      <w:sz w:val="24"/>
      <w:szCs w:val="28"/>
    </w:rPr>
  </w:style>
  <w:style w:type="paragraph" w:styleId="1207">
    <w:name w:val="四级条标题"/>
    <w:basedOn w:val="1208"/>
    <w:next w:val="1070"/>
    <w:link w:val="1070"/>
    <w:qFormat/>
    <w:pPr>
      <w:numPr>
        <w:ilvl w:val="4"/>
      </w:numPr>
      <w:ind w:left="0" w:hanging="840"/>
      <w:tabs>
        <w:tab w:val="left" w:pos="360" w:leader="none"/>
        <w:tab w:val="left" w:pos="840" w:leader="none"/>
      </w:tabs>
      <w:outlineLvl w:val="4"/>
    </w:pPr>
  </w:style>
  <w:style w:type="paragraph" w:styleId="1208">
    <w:name w:val="三级条标题"/>
    <w:basedOn w:val="1170"/>
    <w:next w:val="1070"/>
    <w:link w:val="1070"/>
    <w:qFormat/>
    <w:pPr>
      <w:numPr>
        <w:ilvl w:val="3"/>
        <w:numId w:val="1"/>
      </w:numPr>
      <w:ind w:left="0" w:hanging="840"/>
      <w:tabs>
        <w:tab w:val="left" w:pos="360" w:leader="none"/>
        <w:tab w:val="left" w:pos="840" w:leader="none"/>
      </w:tabs>
      <w:outlineLvl w:val="3"/>
    </w:pPr>
  </w:style>
  <w:style w:type="paragraph" w:styleId="1209">
    <w:name w:val="??"/>
    <w:next w:val="1209"/>
    <w:link w:val="1070"/>
    <w:qFormat/>
    <w:pPr>
      <w:jc w:val="both"/>
      <w:widowControl w:val="off"/>
    </w:pPr>
    <w:rPr>
      <w:sz w:val="21"/>
      <w:lang w:val="en-US" w:eastAsia="en-US" w:bidi="ar-SA"/>
    </w:rPr>
  </w:style>
  <w:style w:type="paragraph" w:styleId="1210">
    <w:name w:val="样式 标题 2 + 宋体 五号 行距: 单倍行距"/>
    <w:basedOn w:val="1072"/>
    <w:next w:val="1210"/>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70"/>
    <w:next w:val="1211"/>
    <w:link w:val="1070"/>
    <w:qFormat/>
    <w:pPr>
      <w:ind w:firstLine="420"/>
    </w:pPr>
    <w:rPr>
      <w:rFonts w:ascii="Calibri" w:hAnsi="Calibri"/>
      <w:szCs w:val="22"/>
    </w:rPr>
  </w:style>
  <w:style w:type="paragraph" w:styleId="1212">
    <w:name w:val="项目符号1"/>
    <w:basedOn w:val="1213"/>
    <w:next w:val="1212"/>
    <w:link w:val="1070"/>
    <w:qFormat/>
    <w:pPr>
      <w:ind w:left="-25" w:firstLine="0"/>
    </w:pPr>
  </w:style>
  <w:style w:type="paragraph" w:styleId="1213">
    <w:name w:val="正文文本样式"/>
    <w:basedOn w:val="1070"/>
    <w:next w:val="1213"/>
    <w:link w:val="1070"/>
    <w:qFormat/>
    <w:pPr>
      <w:ind w:firstLine="482"/>
      <w:spacing w:line="360" w:lineRule="auto"/>
    </w:pPr>
    <w:rPr>
      <w:rFonts w:cs="宋体"/>
      <w:sz w:val="24"/>
      <w:szCs w:val="20"/>
    </w:rPr>
  </w:style>
  <w:style w:type="paragraph" w:styleId="1214">
    <w:name w:val="xl27"/>
    <w:basedOn w:val="1070"/>
    <w:next w:val="121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70"/>
    <w:next w:val="1215"/>
    <w:link w:val="1070"/>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70"/>
    <w:link w:val="1070"/>
    <w:qFormat/>
    <w:pPr>
      <w:numPr>
        <w:ilvl w:val="5"/>
      </w:numPr>
      <w:ind w:left="0" w:hanging="840"/>
      <w:tabs>
        <w:tab w:val="left" w:pos="360" w:leader="none"/>
        <w:tab w:val="left" w:pos="840" w:leader="none"/>
      </w:tabs>
      <w:outlineLvl w:val="5"/>
    </w:pPr>
  </w:style>
  <w:style w:type="paragraph" w:styleId="1217">
    <w:name w:val="xl49"/>
    <w:basedOn w:val="1070"/>
    <w:next w:val="1217"/>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70"/>
    <w:next w:val="1218"/>
    <w:link w:val="1070"/>
    <w:qFormat/>
    <w:pPr>
      <w:spacing w:before="120" w:after="120" w:line="180" w:lineRule="auto"/>
    </w:pPr>
    <w:rPr>
      <w:rFonts w:ascii="Arial" w:hAnsi="Arial"/>
      <w:szCs w:val="20"/>
    </w:rPr>
  </w:style>
  <w:style w:type="paragraph" w:styleId="1219">
    <w:name w:val="xl33"/>
    <w:basedOn w:val="1070"/>
    <w:next w:val="1219"/>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70"/>
    <w:next w:val="122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70"/>
    <w:next w:val="1221"/>
    <w:link w:val="1070"/>
    <w:qFormat/>
    <w:rPr>
      <w:rFonts w:ascii="Tahoma" w:hAnsi="Tahoma"/>
      <w:sz w:val="24"/>
      <w:szCs w:val="20"/>
    </w:rPr>
  </w:style>
  <w:style w:type="paragraph" w:styleId="1222">
    <w:name w:val="xl44"/>
    <w:basedOn w:val="1070"/>
    <w:next w:val="122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70"/>
    <w:next w:val="1223"/>
    <w:link w:val="1070"/>
    <w:qFormat/>
    <w:pPr>
      <w:numPr>
        <w:ilvl w:val="0"/>
        <w:numId w:val="5"/>
      </w:numPr>
      <w:spacing w:before="120"/>
      <w:tabs>
        <w:tab w:val="left" w:pos="360" w:leader="none"/>
      </w:tabs>
    </w:pPr>
    <w:rPr>
      <w:rFonts w:ascii="宋体"/>
      <w:sz w:val="28"/>
      <w:szCs w:val="20"/>
    </w:rPr>
  </w:style>
  <w:style w:type="paragraph" w:styleId="1224">
    <w:name w:val="font9"/>
    <w:basedOn w:val="1070"/>
    <w:next w:val="1224"/>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70"/>
    <w:next w:val="1225"/>
    <w:link w:val="1070"/>
    <w:qFormat/>
    <w:rPr>
      <w:rFonts w:ascii="Tahoma" w:hAnsi="Tahoma"/>
      <w:sz w:val="24"/>
      <w:szCs w:val="20"/>
    </w:rPr>
  </w:style>
  <w:style w:type="paragraph" w:styleId="1226">
    <w:name w:val="Char Char Char Char Char Char Char Char Char Char"/>
    <w:basedOn w:val="1070"/>
    <w:next w:val="1226"/>
    <w:link w:val="1070"/>
    <w:qFormat/>
  </w:style>
  <w:style w:type="paragraph" w:styleId="1227">
    <w:name w:val="Char Char1 Char Char Char Char Char Char Char Char"/>
    <w:basedOn w:val="1070"/>
    <w:next w:val="1227"/>
    <w:link w:val="1070"/>
    <w:qFormat/>
    <w:pPr>
      <w:jc w:val="left"/>
      <w:spacing w:after="160" w:line="240" w:lineRule="exact"/>
      <w:widowControl/>
    </w:pPr>
    <w:rPr>
      <w:rFonts w:ascii="Verdana" w:hAnsi="Verdana"/>
      <w:sz w:val="20"/>
      <w:szCs w:val="20"/>
      <w:lang w:eastAsia="en-US"/>
    </w:rPr>
  </w:style>
  <w:style w:type="paragraph" w:styleId="1228">
    <w:name w:val="Char1"/>
    <w:basedOn w:val="1070"/>
    <w:next w:val="1228"/>
    <w:link w:val="1070"/>
    <w:qFormat/>
    <w:pPr>
      <w:tabs>
        <w:tab w:val="left" w:pos="360" w:leader="none"/>
      </w:tabs>
    </w:pPr>
    <w:rPr>
      <w:sz w:val="24"/>
    </w:rPr>
  </w:style>
  <w:style w:type="paragraph" w:styleId="1229">
    <w:name w:val="正文列项_字母"/>
    <w:basedOn w:val="1070"/>
    <w:next w:val="1229"/>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70"/>
    <w:next w:val="1230"/>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70"/>
    <w:next w:val="1231"/>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70"/>
    <w:next w:val="1232"/>
    <w:link w:val="1070"/>
    <w:qFormat/>
    <w:rPr>
      <w:rFonts w:ascii="Arial" w:hAnsi="Arial" w:cs="Arial"/>
      <w:szCs w:val="21"/>
    </w:rPr>
  </w:style>
  <w:style w:type="paragraph" w:styleId="1233">
    <w:name w:val="xl48"/>
    <w:basedOn w:val="1070"/>
    <w:next w:val="123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70"/>
    <w:next w:val="1234"/>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70"/>
    <w:next w:val="123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70"/>
    <w:next w:val="1236"/>
    <w:link w:val="1070"/>
    <w:qFormat/>
    <w:rPr>
      <w:rFonts w:ascii="Tahoma" w:hAnsi="Tahoma"/>
      <w:sz w:val="24"/>
      <w:szCs w:val="20"/>
    </w:rPr>
  </w:style>
  <w:style w:type="paragraph" w:styleId="1237">
    <w:name w:val="xl50"/>
    <w:basedOn w:val="1070"/>
    <w:next w:val="123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70"/>
    <w:next w:val="1238"/>
    <w:link w:val="1070"/>
    <w:qFormat/>
    <w:pPr>
      <w:jc w:val="left"/>
    </w:pPr>
    <w:rPr>
      <w:sz w:val="24"/>
    </w:rPr>
  </w:style>
  <w:style w:type="paragraph" w:styleId="1239">
    <w:name w:val="Char Char Char1"/>
    <w:basedOn w:val="1070"/>
    <w:next w:val="1239"/>
    <w:link w:val="1070"/>
    <w:qFormat/>
    <w:rPr>
      <w:rFonts w:ascii="Tahoma" w:hAnsi="Tahoma"/>
      <w:sz w:val="24"/>
      <w:szCs w:val="20"/>
    </w:rPr>
  </w:style>
  <w:style w:type="paragraph" w:styleId="1240">
    <w:name w:val="Char Char Char Char Char Char Char1"/>
    <w:basedOn w:val="1070"/>
    <w:next w:val="1240"/>
    <w:link w:val="1070"/>
    <w:qFormat/>
    <w:pPr>
      <w:ind w:firstLine="200"/>
      <w:spacing w:line="360" w:lineRule="auto"/>
    </w:pPr>
    <w:rPr>
      <w:rFonts w:eastAsia="仿宋_GB2312"/>
      <w:sz w:val="24"/>
    </w:rPr>
  </w:style>
  <w:style w:type="paragraph" w:styleId="1241">
    <w:name w:val="xl51"/>
    <w:basedOn w:val="1070"/>
    <w:next w:val="1241"/>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32"/>
    <w:next w:val="1242"/>
    <w:link w:val="1070"/>
    <w:qFormat/>
    <w:pPr>
      <w:jc w:val="center"/>
      <w:spacing w:line="360" w:lineRule="auto"/>
    </w:pPr>
    <w:rPr>
      <w:sz w:val="24"/>
    </w:rPr>
  </w:style>
  <w:style w:type="paragraph" w:styleId="1243">
    <w:name w:val="xl24"/>
    <w:basedOn w:val="1070"/>
    <w:next w:val="1243"/>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70"/>
    <w:next w:val="124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70"/>
    <w:next w:val="1245"/>
    <w:link w:val="1070"/>
    <w:qFormat/>
    <w:pPr>
      <w:jc w:val="left"/>
      <w:widowControl/>
    </w:pPr>
    <w:rPr>
      <w:rFonts w:ascii="楷体_GB2312" w:eastAsia="楷体_GB2312" w:cs="Arial"/>
      <w:sz w:val="24"/>
    </w:rPr>
  </w:style>
  <w:style w:type="paragraph" w:styleId="1246">
    <w:name w:val="xl34"/>
    <w:basedOn w:val="1070"/>
    <w:next w:val="124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70"/>
    <w:next w:val="1247"/>
    <w:link w:val="1070"/>
    <w:qFormat/>
    <w:rPr>
      <w:rFonts w:ascii="Tahoma" w:hAnsi="Tahoma"/>
      <w:sz w:val="24"/>
      <w:szCs w:val="20"/>
    </w:rPr>
  </w:style>
  <w:style w:type="paragraph" w:styleId="1248">
    <w:name w:val="Default"/>
    <w:next w:val="1248"/>
    <w:link w:val="1070"/>
    <w:qFormat/>
    <w:pPr>
      <w:widowControl w:val="off"/>
    </w:pPr>
    <w:rPr>
      <w:rFonts w:ascii="Symbol" w:hAnsi="Symbol" w:cs="Symbol"/>
      <w:color w:val="000000"/>
      <w:sz w:val="24"/>
      <w:szCs w:val="24"/>
      <w:lang w:val="en-US" w:eastAsia="zh-CN" w:bidi="ar-SA"/>
    </w:rPr>
  </w:style>
  <w:style w:type="paragraph" w:styleId="1249">
    <w:name w:val="列出段落1"/>
    <w:basedOn w:val="1070"/>
    <w:next w:val="1249"/>
    <w:link w:val="1070"/>
    <w:qFormat/>
    <w:pPr>
      <w:ind w:firstLine="420"/>
    </w:pPr>
    <w:rPr>
      <w:rFonts w:ascii="Calibri" w:hAnsi="Calibri"/>
      <w:szCs w:val="22"/>
    </w:rPr>
  </w:style>
  <w:style w:type="paragraph" w:styleId="1250">
    <w:name w:val="default"/>
    <w:basedOn w:val="1070"/>
    <w:next w:val="1250"/>
    <w:link w:val="1070"/>
    <w:qFormat/>
    <w:pPr>
      <w:jc w:val="left"/>
      <w:spacing w:before="100" w:beforeAutospacing="1" w:after="100" w:afterAutospacing="1"/>
      <w:widowControl/>
    </w:pPr>
    <w:rPr>
      <w:rFonts w:ascii="宋体" w:hAnsi="宋体" w:cs="宋体"/>
      <w:sz w:val="24"/>
    </w:rPr>
  </w:style>
  <w:style w:type="paragraph" w:styleId="1251">
    <w:name w:val="字元 字元1"/>
    <w:basedOn w:val="1070"/>
    <w:next w:val="1251"/>
    <w:link w:val="1070"/>
    <w:qFormat/>
    <w:rPr>
      <w:rFonts w:ascii="Tahoma" w:hAnsi="Tahoma"/>
      <w:sz w:val="24"/>
      <w:szCs w:val="20"/>
    </w:rPr>
  </w:style>
  <w:style w:type="paragraph" w:styleId="1252">
    <w:name w:val="_Style 160"/>
    <w:next w:val="1252"/>
    <w:link w:val="1070"/>
    <w:qFormat/>
    <w:rPr>
      <w:sz w:val="21"/>
      <w:szCs w:val="24"/>
      <w:lang w:val="en-US" w:eastAsia="zh-CN" w:bidi="ar-SA"/>
    </w:rPr>
  </w:style>
  <w:style w:type="paragraph" w:styleId="1253">
    <w:name w:val="项目编号3"/>
    <w:basedOn w:val="1213"/>
    <w:next w:val="1253"/>
    <w:link w:val="1070"/>
    <w:qFormat/>
    <w:pPr>
      <w:numPr>
        <w:ilvl w:val="0"/>
        <w:numId w:val="6"/>
      </w:numPr>
    </w:pPr>
  </w:style>
  <w:style w:type="paragraph" w:styleId="1254">
    <w:name w:val="Char21"/>
    <w:basedOn w:val="1070"/>
    <w:next w:val="1254"/>
    <w:link w:val="1070"/>
    <w:qFormat/>
    <w:rPr>
      <w:rFonts w:ascii="Tahoma" w:hAnsi="Tahoma"/>
      <w:sz w:val="24"/>
      <w:szCs w:val="20"/>
    </w:rPr>
  </w:style>
  <w:style w:type="paragraph" w:styleId="1255">
    <w:name w:val="表格文字"/>
    <w:basedOn w:val="1103"/>
    <w:next w:val="1255"/>
    <w:link w:val="1070"/>
    <w:qFormat/>
    <w:pPr>
      <w:ind w:firstLine="0"/>
      <w:spacing w:before="20" w:after="20" w:line="240" w:lineRule="auto"/>
    </w:pPr>
    <w:rPr>
      <w:rFonts w:ascii="Century Gothic" w:hAnsi="Century Gothic"/>
      <w:sz w:val="20"/>
      <w:szCs w:val="20"/>
    </w:rPr>
  </w:style>
  <w:style w:type="paragraph" w:styleId="1256">
    <w:name w:val="Char Char Char Char Char Char Char Char Char Char1"/>
    <w:basedOn w:val="1070"/>
    <w:next w:val="1256"/>
    <w:link w:val="1070"/>
    <w:qFormat/>
    <w:rPr>
      <w:rFonts w:ascii="宋体" w:hAnsi="宋体" w:cs="Courier New"/>
      <w:sz w:val="32"/>
      <w:szCs w:val="32"/>
    </w:rPr>
  </w:style>
  <w:style w:type="paragraph" w:styleId="1257">
    <w:name w:val="正文文本样式 加粗"/>
    <w:basedOn w:val="1213"/>
    <w:next w:val="1257"/>
    <w:link w:val="1070"/>
    <w:qFormat/>
    <w:rPr>
      <w:b/>
    </w:rPr>
  </w:style>
  <w:style w:type="paragraph" w:styleId="1258">
    <w:name w:val="Char2 Char Char Char Char Char Char"/>
    <w:basedOn w:val="1070"/>
    <w:next w:val="1258"/>
    <w:link w:val="1070"/>
    <w:qFormat/>
    <w:pPr>
      <w:jc w:val="center"/>
      <w:spacing w:line="400" w:lineRule="exact"/>
      <w:widowControl/>
    </w:pPr>
  </w:style>
  <w:style w:type="paragraph" w:styleId="1259">
    <w:name w:val="Char Char4"/>
    <w:basedOn w:val="1070"/>
    <w:next w:val="1259"/>
    <w:link w:val="1070"/>
    <w:qFormat/>
    <w:pPr>
      <w:jc w:val="center"/>
      <w:spacing w:line="400" w:lineRule="exact"/>
      <w:widowControl/>
    </w:pPr>
  </w:style>
  <w:style w:type="paragraph" w:styleId="1260">
    <w:name w:val="Char3 Char Char Char1"/>
    <w:basedOn w:val="1070"/>
    <w:next w:val="1260"/>
    <w:link w:val="1070"/>
    <w:qFormat/>
    <w:rPr>
      <w:rFonts w:ascii="Tahoma" w:hAnsi="Tahoma"/>
      <w:sz w:val="24"/>
      <w:szCs w:val="20"/>
    </w:rPr>
  </w:style>
  <w:style w:type="paragraph" w:styleId="1261">
    <w:name w:val="无间隔"/>
    <w:next w:val="1261"/>
    <w:link w:val="1070"/>
    <w:qFormat/>
    <w:pPr>
      <w:jc w:val="both"/>
      <w:widowControl w:val="off"/>
    </w:pPr>
    <w:rPr>
      <w:sz w:val="21"/>
      <w:szCs w:val="24"/>
      <w:lang w:val="en-US" w:eastAsia="zh-CN" w:bidi="ar-SA"/>
    </w:rPr>
  </w:style>
  <w:style w:type="paragraph" w:styleId="1262">
    <w:name w:val="22222222222222"/>
    <w:basedOn w:val="1070"/>
    <w:next w:val="1262"/>
    <w:link w:val="1070"/>
    <w:qFormat/>
    <w:pPr>
      <w:ind w:firstLine="480"/>
      <w:jc w:val="left"/>
      <w:spacing w:line="360" w:lineRule="auto"/>
      <w:widowControl/>
    </w:pPr>
    <w:rPr>
      <w:color w:val="ff0000"/>
      <w:sz w:val="24"/>
      <w:szCs w:val="20"/>
    </w:rPr>
  </w:style>
  <w:style w:type="character" w:styleId="1263">
    <w:name w:val="中等深浅网格 1 - 强调文字颜色 2 Char"/>
    <w:next w:val="1263"/>
    <w:link w:val="1264"/>
    <w:qFormat/>
    <w:rPr>
      <w:sz w:val="21"/>
      <w:szCs w:val="24"/>
      <w:lang w:val="zh-CN" w:eastAsia="zh-CN" w:bidi="ar-SA"/>
    </w:rPr>
  </w:style>
  <w:style w:type="paragraph" w:styleId="1264">
    <w:name w:val="1"/>
    <w:next w:val="1264"/>
    <w:link w:val="1263"/>
    <w:qFormat/>
    <w:rPr>
      <w:sz w:val="21"/>
      <w:szCs w:val="24"/>
      <w:lang w:val="zh-CN" w:eastAsia="zh-CN" w:bidi="ar-SA"/>
    </w:rPr>
  </w:style>
  <w:style w:type="paragraph" w:styleId="1265">
    <w:name w:val="图文"/>
    <w:basedOn w:val="1070"/>
    <w:next w:val="1265"/>
    <w:link w:val="1070"/>
    <w:qFormat/>
    <w:pPr>
      <w:spacing w:after="50" w:line="360" w:lineRule="auto"/>
    </w:pPr>
    <w:rPr>
      <w:sz w:val="24"/>
    </w:rPr>
  </w:style>
  <w:style w:type="paragraph" w:styleId="1266">
    <w:name w:val="xl23"/>
    <w:basedOn w:val="1070"/>
    <w:next w:val="1266"/>
    <w:link w:val="1070"/>
    <w:qFormat/>
    <w:pPr>
      <w:spacing w:before="100" w:beforeAutospacing="1" w:after="100" w:afterAutospacing="1" w:line="360" w:lineRule="auto"/>
      <w:widowControl/>
    </w:pPr>
    <w:rPr>
      <w:sz w:val="24"/>
      <w:szCs w:val="20"/>
    </w:rPr>
  </w:style>
  <w:style w:type="paragraph" w:styleId="1267">
    <w:name w:val="正文表格"/>
    <w:basedOn w:val="1070"/>
    <w:next w:val="1267"/>
    <w:link w:val="1268"/>
    <w:qFormat/>
    <w:pPr>
      <w:jc w:val="left"/>
    </w:pPr>
    <w:rPr>
      <w:rFonts w:ascii="宋体" w:hAnsi="宋体"/>
      <w:color w:val="000000"/>
      <w:szCs w:val="21"/>
    </w:rPr>
  </w:style>
  <w:style w:type="character" w:styleId="1268">
    <w:name w:val="正文表格 Char"/>
    <w:next w:val="1268"/>
    <w:link w:val="1267"/>
    <w:qFormat/>
    <w:rPr>
      <w:rFonts w:ascii="宋体" w:hAnsi="宋体"/>
      <w:color w:val="000000"/>
      <w:sz w:val="21"/>
      <w:szCs w:val="21"/>
    </w:rPr>
  </w:style>
  <w:style w:type="paragraph" w:styleId="1269">
    <w:name w:val="正文重点"/>
    <w:basedOn w:val="1070"/>
    <w:next w:val="1269"/>
    <w:link w:val="1270"/>
    <w:qFormat/>
    <w:pPr>
      <w:ind w:firstLine="482"/>
      <w:jc w:val="left"/>
      <w:spacing w:line="360" w:lineRule="auto"/>
    </w:pPr>
    <w:rPr>
      <w:b/>
      <w:sz w:val="24"/>
      <w:szCs w:val="20"/>
    </w:rPr>
  </w:style>
  <w:style w:type="character" w:styleId="1270">
    <w:name w:val="正文重点 Char"/>
    <w:next w:val="1270"/>
    <w:link w:val="1269"/>
    <w:qFormat/>
    <w:rPr>
      <w:b/>
      <w:sz w:val="24"/>
    </w:rPr>
  </w:style>
  <w:style w:type="paragraph" w:styleId="1271">
    <w:name w:val="标题1-附件"/>
    <w:basedOn w:val="1071"/>
    <w:next w:val="1271"/>
    <w:link w:val="1070"/>
    <w:qFormat/>
    <w:pPr>
      <w:jc w:val="left"/>
    </w:pPr>
    <w:rPr>
      <w:sz w:val="24"/>
      <w:szCs w:val="24"/>
    </w:rPr>
  </w:style>
  <w:style w:type="paragraph" w:styleId="1272">
    <w:name w:val="正文小标题"/>
    <w:basedOn w:val="1070"/>
    <w:next w:val="1092"/>
    <w:link w:val="1273"/>
    <w:qFormat/>
    <w:pPr>
      <w:ind w:firstLine="482"/>
      <w:jc w:val="left"/>
      <w:spacing w:before="312" w:after="312"/>
    </w:pPr>
    <w:rPr>
      <w:rFonts w:ascii="宋体" w:hAnsi="宋体"/>
      <w:b/>
      <w:i/>
      <w:color w:val="ff0000"/>
      <w:sz w:val="24"/>
      <w:szCs w:val="20"/>
    </w:rPr>
  </w:style>
  <w:style w:type="character" w:styleId="1273">
    <w:name w:val="正文小标题 Char"/>
    <w:next w:val="1273"/>
    <w:link w:val="1272"/>
    <w:qFormat/>
    <w:rPr>
      <w:rFonts w:ascii="宋体" w:hAnsi="宋体"/>
      <w:b/>
      <w:i/>
      <w:color w:val="ff0000"/>
      <w:sz w:val="24"/>
    </w:rPr>
  </w:style>
  <w:style w:type="paragraph" w:styleId="1274">
    <w:name w:val="正文大标题"/>
    <w:basedOn w:val="1272"/>
    <w:next w:val="1092"/>
    <w:link w:val="1275"/>
    <w:qFormat/>
    <w:pPr>
      <w:jc w:val="center"/>
    </w:pPr>
    <w:rPr>
      <w:i w:val="0"/>
      <w:color w:val="000000"/>
      <w:sz w:val="28"/>
      <w:szCs w:val="21"/>
    </w:rPr>
  </w:style>
  <w:style w:type="character" w:styleId="1275">
    <w:name w:val="正文大标题 Char"/>
    <w:next w:val="1275"/>
    <w:link w:val="1274"/>
    <w:qFormat/>
    <w:rPr>
      <w:rFonts w:ascii="宋体" w:hAnsi="宋体"/>
      <w:b/>
      <w:color w:val="000000"/>
      <w:sz w:val="28"/>
      <w:szCs w:val="21"/>
    </w:rPr>
  </w:style>
  <w:style w:type="paragraph" w:styleId="1276">
    <w:name w:val="注释"/>
    <w:basedOn w:val="1070"/>
    <w:next w:val="1276"/>
    <w:link w:val="1277"/>
    <w:qFormat/>
    <w:pPr>
      <w:ind w:left="420" w:hanging="420"/>
      <w:jc w:val="left"/>
    </w:pPr>
    <w:rPr>
      <w:rFonts w:ascii="宋体" w:hAnsi="宋体"/>
      <w:szCs w:val="21"/>
    </w:rPr>
  </w:style>
  <w:style w:type="character" w:styleId="1277">
    <w:name w:val="注释 Char"/>
    <w:next w:val="1277"/>
    <w:link w:val="1276"/>
    <w:qFormat/>
    <w:rPr>
      <w:rFonts w:ascii="宋体" w:hAnsi="宋体"/>
      <w:sz w:val="21"/>
      <w:szCs w:val="21"/>
    </w:rPr>
  </w:style>
  <w:style w:type="paragraph" w:styleId="1278">
    <w:name w:val="正文须知-1级"/>
    <w:basedOn w:val="1070"/>
    <w:next w:val="1070"/>
    <w:link w:val="1070"/>
    <w:qFormat/>
    <w:pPr>
      <w:numPr>
        <w:ilvl w:val="0"/>
        <w:numId w:val="7"/>
      </w:numPr>
      <w:spacing w:line="300" w:lineRule="auto"/>
    </w:pPr>
    <w:rPr>
      <w:rFonts w:ascii="宋体" w:hAnsi="Calibri"/>
      <w:sz w:val="24"/>
      <w:szCs w:val="21"/>
    </w:rPr>
  </w:style>
  <w:style w:type="paragraph" w:styleId="1279">
    <w:name w:val="正文须知-2级"/>
    <w:basedOn w:val="1070"/>
    <w:next w:val="1279"/>
    <w:link w:val="1070"/>
    <w:qFormat/>
    <w:pPr>
      <w:numPr>
        <w:ilvl w:val="1"/>
        <w:numId w:val="7"/>
      </w:numPr>
      <w:spacing w:line="300" w:lineRule="auto"/>
    </w:pPr>
    <w:rPr>
      <w:rFonts w:ascii="宋体" w:hAnsi="Calibri"/>
      <w:sz w:val="24"/>
      <w:szCs w:val="21"/>
    </w:rPr>
  </w:style>
  <w:style w:type="paragraph" w:styleId="1280">
    <w:name w:val="正文须知-3级"/>
    <w:basedOn w:val="1070"/>
    <w:next w:val="1280"/>
    <w:link w:val="1070"/>
    <w:qFormat/>
    <w:pPr>
      <w:numPr>
        <w:ilvl w:val="2"/>
        <w:numId w:val="7"/>
      </w:numPr>
      <w:ind w:hanging="355"/>
      <w:spacing w:line="300" w:lineRule="auto"/>
    </w:pPr>
    <w:rPr>
      <w:rFonts w:ascii="宋体" w:hAnsi="Calibri"/>
      <w:sz w:val="24"/>
      <w:szCs w:val="21"/>
    </w:rPr>
  </w:style>
  <w:style w:type="character" w:styleId="1281">
    <w:name w:val="纯文本 字符"/>
    <w:next w:val="1281"/>
    <w:link w:val="1070"/>
    <w:uiPriority w:val="99"/>
    <w:qFormat/>
    <w:rPr>
      <w:rFonts w:ascii="宋体" w:hAnsi="Courier New" w:eastAsia="宋体" w:cs="Times New Roman"/>
      <w:sz w:val="21"/>
      <w:szCs w:val="21"/>
      <w:lang w:val="en-US" w:eastAsia="zh-CN" w:bidi="ar-SA"/>
    </w:rPr>
  </w:style>
  <w:style w:type="paragraph" w:styleId="1282">
    <w:name w:val="表格1"/>
    <w:basedOn w:val="1070"/>
    <w:next w:val="1282"/>
    <w:link w:val="1070"/>
    <w:qFormat/>
    <w:pPr>
      <w:ind w:firstLine="480"/>
      <w:jc w:val="center"/>
    </w:pPr>
    <w:rPr>
      <w:sz w:val="24"/>
      <w:szCs w:val="20"/>
    </w:rPr>
  </w:style>
  <w:style w:type="character" w:styleId="1283">
    <w:name w:val="纯文本 字符1"/>
    <w:next w:val="1283"/>
    <w:link w:val="1070"/>
    <w:qFormat/>
    <w:rPr>
      <w:rFonts w:ascii="宋体" w:hAnsi="Courier New"/>
    </w:rPr>
  </w:style>
  <w:style w:type="character" w:styleId="1284">
    <w:name w:val="bjh-p"/>
    <w:next w:val="1284"/>
    <w:link w:val="1070"/>
    <w:qFormat/>
  </w:style>
  <w:style w:type="paragraph" w:styleId="1285">
    <w:name w:val="无标题条"/>
    <w:next w:val="1070"/>
    <w:link w:val="1070"/>
    <w:qFormat/>
    <w:pPr>
      <w:jc w:val="both"/>
    </w:pPr>
    <w:rPr>
      <w:sz w:val="21"/>
      <w:lang w:val="en-US" w:eastAsia="zh-CN" w:bidi="ar-SA"/>
    </w:rPr>
  </w:style>
  <w:style w:type="character" w:styleId="1286">
    <w:name w:val="正文格式 Char"/>
    <w:next w:val="1286"/>
    <w:link w:val="1287"/>
    <w:qFormat/>
    <w:rPr>
      <w:rFonts w:ascii="宋体" w:hAnsi="宋体"/>
      <w:sz w:val="24"/>
      <w:szCs w:val="24"/>
      <w:lang w:val="en-GB"/>
    </w:rPr>
  </w:style>
  <w:style w:type="paragraph" w:styleId="1287">
    <w:name w:val="正文格式"/>
    <w:basedOn w:val="1070"/>
    <w:next w:val="1287"/>
    <w:link w:val="1286"/>
    <w:qFormat/>
    <w:pPr>
      <w:ind w:firstLine="480"/>
      <w:spacing w:line="360" w:lineRule="auto"/>
    </w:pPr>
    <w:rPr>
      <w:rFonts w:ascii="宋体" w:hAnsi="宋体"/>
      <w:sz w:val="24"/>
      <w:lang w:val="en-GB"/>
    </w:rPr>
  </w:style>
  <w:style w:type="character" w:styleId="1288">
    <w:name w:val="标题 3 Char"/>
    <w:next w:val="1288"/>
    <w:link w:val="1070"/>
    <w:qFormat/>
    <w:rPr>
      <w:rFonts w:ascii="宋体" w:eastAsia="宋体"/>
      <w:b/>
      <w:sz w:val="24"/>
      <w:u w:val="single"/>
      <w:lang w:val="en-US" w:eastAsia="zh-CN" w:bidi="ar-SA"/>
    </w:rPr>
  </w:style>
  <w:style w:type="character" w:styleId="1289">
    <w:name w:val="正文缩进 Char"/>
    <w:next w:val="1289"/>
    <w:link w:val="1070"/>
    <w:qFormat/>
    <w:rPr>
      <w:rFonts w:ascii="宋体" w:eastAsia="宋体"/>
      <w:sz w:val="24"/>
      <w:szCs w:val="24"/>
      <w:lang w:val="en-US" w:eastAsia="zh-CN" w:bidi="ar-SA"/>
    </w:rPr>
  </w:style>
  <w:style w:type="character" w:styleId="1290">
    <w:name w:val="Char Char111"/>
    <w:next w:val="1290"/>
    <w:link w:val="1070"/>
    <w:qFormat/>
    <w:rPr>
      <w:rFonts w:ascii="宋体" w:eastAsia="宋体"/>
      <w:b/>
      <w:sz w:val="24"/>
      <w:u w:val="single"/>
      <w:lang w:val="en-US" w:eastAsia="zh-CN" w:bidi="ar-SA"/>
    </w:rPr>
  </w:style>
  <w:style w:type="character" w:styleId="1291">
    <w:name w:val="正文文本缩进 Char"/>
    <w:next w:val="1291"/>
    <w:link w:val="1070"/>
    <w:qFormat/>
    <w:rPr>
      <w:rFonts w:eastAsia="宋体"/>
      <w:sz w:val="24"/>
      <w:szCs w:val="24"/>
      <w:lang w:val="en-US" w:eastAsia="zh-CN" w:bidi="ar-SA"/>
    </w:rPr>
  </w:style>
  <w:style w:type="character" w:styleId="1292">
    <w:name w:val="列出段落 Char"/>
    <w:next w:val="1292"/>
    <w:link w:val="1070"/>
    <w:qFormat/>
    <w:rPr>
      <w:rFonts w:ascii="Calibri" w:hAnsi="Calibri" w:eastAsia="宋体"/>
      <w:sz w:val="21"/>
      <w:szCs w:val="22"/>
      <w:lang w:val="en-US" w:eastAsia="zh-CN" w:bidi="ar-SA"/>
    </w:rPr>
  </w:style>
  <w:style w:type="character" w:styleId="1293">
    <w:name w:val="页眉 Char"/>
    <w:next w:val="1293"/>
    <w:link w:val="1070"/>
    <w:qFormat/>
    <w:rPr>
      <w:rFonts w:eastAsia="宋体"/>
      <w:sz w:val="18"/>
      <w:szCs w:val="18"/>
      <w:lang w:val="en-US" w:eastAsia="zh-CN" w:bidi="ar-SA"/>
    </w:rPr>
  </w:style>
  <w:style w:type="character" w:styleId="1294">
    <w:name w:val="标题 2 Char"/>
    <w:next w:val="1294"/>
    <w:link w:val="1070"/>
    <w:qFormat/>
    <w:rPr>
      <w:rFonts w:ascii="Arial" w:hAnsi="Arial" w:eastAsia="黑体"/>
      <w:b/>
      <w:sz w:val="30"/>
      <w:lang w:val="en-US" w:eastAsia="zh-CN" w:bidi="ar-SA"/>
    </w:rPr>
  </w:style>
  <w:style w:type="paragraph" w:styleId="1295">
    <w:name w:val="字元 字元2"/>
    <w:basedOn w:val="1070"/>
    <w:next w:val="1295"/>
    <w:link w:val="1070"/>
    <w:qFormat/>
    <w:rPr>
      <w:rFonts w:ascii="Tahoma" w:hAnsi="Tahoma"/>
      <w:sz w:val="24"/>
      <w:szCs w:val="20"/>
    </w:rPr>
  </w:style>
  <w:style w:type="paragraph" w:styleId="1296">
    <w:name w:val="Char3 Char Char Char2"/>
    <w:basedOn w:val="1070"/>
    <w:next w:val="1296"/>
    <w:link w:val="1070"/>
    <w:qFormat/>
    <w:rPr>
      <w:rFonts w:ascii="Tahoma" w:hAnsi="Tahoma"/>
      <w:sz w:val="24"/>
      <w:szCs w:val="20"/>
    </w:rPr>
  </w:style>
  <w:style w:type="paragraph" w:styleId="1297">
    <w:name w:val="正文文本缩进2"/>
    <w:basedOn w:val="1070"/>
    <w:next w:val="1297"/>
    <w:link w:val="1070"/>
    <w:qFormat/>
    <w:pPr>
      <w:ind w:firstLine="480"/>
      <w:spacing w:line="480" w:lineRule="exact"/>
    </w:pPr>
    <w:rPr>
      <w:rFonts w:ascii="宋体" w:hAnsi="宋体"/>
      <w:sz w:val="24"/>
      <w:lang w:val="zh-CN" w:eastAsia="zh-CN"/>
    </w:rPr>
  </w:style>
  <w:style w:type="paragraph" w:styleId="1298">
    <w:name w:val="Char3"/>
    <w:basedOn w:val="1070"/>
    <w:next w:val="1298"/>
    <w:link w:val="1070"/>
    <w:qFormat/>
    <w:pPr>
      <w:tabs>
        <w:tab w:val="left" w:pos="360" w:leader="none"/>
      </w:tabs>
    </w:pPr>
    <w:rPr>
      <w:sz w:val="24"/>
    </w:rPr>
  </w:style>
  <w:style w:type="paragraph" w:styleId="1299">
    <w:name w:val="Char Char Char Char Char Char Char Char Char Char Char Char Char Char Char Char1"/>
    <w:basedOn w:val="1070"/>
    <w:next w:val="1299"/>
    <w:link w:val="1070"/>
    <w:qFormat/>
    <w:pPr>
      <w:jc w:val="center"/>
      <w:spacing w:after="160" w:line="240" w:lineRule="exact"/>
      <w:widowControl/>
    </w:pPr>
    <w:rPr>
      <w:rFonts w:ascii="宋体" w:hAnsi="宋体"/>
      <w:b/>
      <w:sz w:val="30"/>
      <w:szCs w:val="30"/>
      <w:lang w:eastAsia="en-US"/>
    </w:rPr>
  </w:style>
  <w:style w:type="paragraph" w:styleId="1300">
    <w:name w:val="Char Char1 Char Char Char Char Char Char1"/>
    <w:basedOn w:val="1070"/>
    <w:next w:val="1300"/>
    <w:link w:val="1070"/>
    <w:qFormat/>
    <w:pPr>
      <w:jc w:val="left"/>
      <w:spacing w:after="160" w:line="240" w:lineRule="exact"/>
      <w:widowControl/>
    </w:pPr>
    <w:rPr>
      <w:rFonts w:ascii="Verdana" w:hAnsi="Verdana" w:eastAsia="仿宋_GB2312"/>
      <w:sz w:val="24"/>
      <w:szCs w:val="20"/>
      <w:lang w:eastAsia="en-US"/>
    </w:rPr>
  </w:style>
  <w:style w:type="paragraph" w:styleId="1301">
    <w:name w:val="列出段落2"/>
    <w:basedOn w:val="1070"/>
    <w:next w:val="1301"/>
    <w:link w:val="1070"/>
    <w:qFormat/>
    <w:pPr>
      <w:ind w:firstLine="420"/>
    </w:pPr>
    <w:rPr>
      <w:rFonts w:ascii="Calibri" w:hAnsi="Calibri"/>
      <w:szCs w:val="22"/>
    </w:rPr>
  </w:style>
  <w:style w:type="paragraph" w:styleId="1302">
    <w:name w:val="Char Char Char1 Char2"/>
    <w:basedOn w:val="1070"/>
    <w:next w:val="1302"/>
    <w:link w:val="1070"/>
    <w:qFormat/>
    <w:rPr>
      <w:rFonts w:ascii="Tahoma" w:hAnsi="Tahoma"/>
      <w:sz w:val="24"/>
      <w:szCs w:val="20"/>
    </w:rPr>
  </w:style>
  <w:style w:type="paragraph" w:styleId="1303">
    <w:name w:val="Char Char Char2"/>
    <w:basedOn w:val="1070"/>
    <w:next w:val="1303"/>
    <w:link w:val="1070"/>
    <w:qFormat/>
    <w:rPr>
      <w:rFonts w:ascii="Tahoma" w:hAnsi="Tahoma"/>
      <w:sz w:val="24"/>
      <w:szCs w:val="20"/>
    </w:rPr>
  </w:style>
  <w:style w:type="paragraph" w:styleId="1304">
    <w:name w:val="Char Char Char Char Char Char Char2"/>
    <w:basedOn w:val="1070"/>
    <w:next w:val="1304"/>
    <w:link w:val="1070"/>
    <w:qFormat/>
    <w:pPr>
      <w:ind w:firstLine="200"/>
      <w:spacing w:line="360" w:lineRule="auto"/>
    </w:pPr>
    <w:rPr>
      <w:rFonts w:eastAsia="仿宋_GB2312"/>
      <w:sz w:val="24"/>
    </w:rPr>
  </w:style>
  <w:style w:type="paragraph" w:styleId="1305">
    <w:name w:val="正文缩进2"/>
    <w:basedOn w:val="1070"/>
    <w:next w:val="1305"/>
    <w:link w:val="1070"/>
    <w:qFormat/>
    <w:pPr>
      <w:ind w:firstLine="567"/>
      <w:spacing w:line="480" w:lineRule="exact"/>
      <w:widowControl/>
    </w:pPr>
    <w:rPr>
      <w:rFonts w:ascii="宋体"/>
      <w:color w:val="000000"/>
      <w:sz w:val="28"/>
      <w:szCs w:val="20"/>
      <w:lang w:val="zh-CN" w:eastAsia="zh-CN"/>
    </w:rPr>
  </w:style>
  <w:style w:type="paragraph" w:styleId="1306">
    <w:name w:val="Revision"/>
    <w:next w:val="1306"/>
    <w:link w:val="1070"/>
    <w:qFormat/>
    <w:rPr>
      <w:sz w:val="21"/>
      <w:szCs w:val="24"/>
      <w:lang w:val="en-US" w:eastAsia="zh-CN" w:bidi="ar-SA"/>
    </w:rPr>
  </w:style>
  <w:style w:type="paragraph" w:styleId="1307">
    <w:name w:val="Char22"/>
    <w:basedOn w:val="1070"/>
    <w:next w:val="1307"/>
    <w:link w:val="1070"/>
    <w:qFormat/>
    <w:rPr>
      <w:rFonts w:ascii="Tahoma" w:hAnsi="Tahoma"/>
      <w:sz w:val="24"/>
      <w:szCs w:val="20"/>
    </w:rPr>
  </w:style>
  <w:style w:type="paragraph" w:styleId="1308">
    <w:name w:val="Char Char Char Char Char Char Char Char Char Char2"/>
    <w:basedOn w:val="1070"/>
    <w:next w:val="1308"/>
    <w:link w:val="1070"/>
    <w:qFormat/>
    <w:rPr>
      <w:rFonts w:ascii="宋体" w:hAnsi="宋体" w:cs="Courier New"/>
      <w:sz w:val="32"/>
      <w:szCs w:val="32"/>
    </w:rPr>
  </w:style>
  <w:style w:type="paragraph" w:styleId="1309">
    <w:name w:val="Char2 Char Char Char Char Char Char1"/>
    <w:basedOn w:val="1070"/>
    <w:next w:val="1309"/>
    <w:link w:val="1070"/>
    <w:qFormat/>
    <w:pPr>
      <w:jc w:val="center"/>
      <w:spacing w:line="400" w:lineRule="exact"/>
      <w:widowControl/>
    </w:pPr>
  </w:style>
  <w:style w:type="character" w:styleId="1310">
    <w:name w:val="页脚 Char"/>
    <w:next w:val="1310"/>
    <w:link w:val="1070"/>
    <w:qFormat/>
    <w:rPr>
      <w:rFonts w:ascii="宋体" w:eastAsia="宋体"/>
      <w:sz w:val="18"/>
      <w:lang w:val="en-US" w:eastAsia="zh-CN" w:bidi="ar-SA"/>
    </w:rPr>
  </w:style>
  <w:style w:type="paragraph" w:styleId="1311">
    <w:name w:val="Char Char41"/>
    <w:basedOn w:val="1070"/>
    <w:next w:val="1311"/>
    <w:link w:val="1070"/>
    <w:qFormat/>
    <w:pPr>
      <w:jc w:val="center"/>
      <w:spacing w:line="400" w:lineRule="exact"/>
      <w:widowControl/>
    </w:pPr>
  </w:style>
  <w:style w:type="character" w:styleId="1312">
    <w:name w:val="批注文字 Char"/>
    <w:next w:val="1312"/>
    <w:link w:val="1070"/>
    <w:uiPriority w:val="99"/>
    <w:qFormat/>
    <w:rPr>
      <w:sz w:val="21"/>
      <w:szCs w:val="24"/>
    </w:rPr>
  </w:style>
  <w:style w:type="character" w:styleId="1313">
    <w:name w:val="标题 Char"/>
    <w:next w:val="1313"/>
    <w:link w:val="1070"/>
    <w:qFormat/>
    <w:rPr>
      <w:b/>
      <w:sz w:val="32"/>
    </w:rPr>
  </w:style>
  <w:style w:type="paragraph" w:styleId="1314">
    <w:name w:val="图例"/>
    <w:basedOn w:val="1070"/>
    <w:next w:val="1314"/>
    <w:link w:val="1070"/>
    <w:qFormat/>
    <w:pPr>
      <w:jc w:val="center"/>
      <w:spacing w:before="120" w:after="120" w:line="360" w:lineRule="auto"/>
    </w:pPr>
    <w:rPr>
      <w:rFonts w:eastAsia="仿宋_GB2312"/>
      <w:b/>
      <w:sz w:val="24"/>
      <w:szCs w:val="20"/>
    </w:rPr>
  </w:style>
  <w:style w:type="table" w:styleId="1315">
    <w:name w:val="Table Normal"/>
    <w:next w:val="1315"/>
    <w:link w:val="1070"/>
    <w:uiPriority w:val="2"/>
    <w:unhideWhenUsed/>
    <w:qFormat/>
    <w:pPr>
      <w:widowControl w:val="off"/>
    </w:pPr>
    <w:rPr>
      <w:rFonts w:ascii="Calibri" w:hAnsi="Calibri"/>
      <w:sz w:val="22"/>
      <w:szCs w:val="22"/>
      <w:lang w:val="en-US" w:eastAsia="en-US" w:bidi="ar-SA"/>
    </w:rPr>
    <w:tblPr/>
  </w:style>
  <w:style w:type="paragraph" w:styleId="1316">
    <w:name w:val="Table Paragraph"/>
    <w:basedOn w:val="1070"/>
    <w:next w:val="1316"/>
    <w:link w:val="1070"/>
    <w:uiPriority w:val="1"/>
    <w:qFormat/>
    <w:pPr>
      <w:jc w:val="left"/>
    </w:pPr>
    <w:rPr>
      <w:rFonts w:ascii="宋体" w:hAnsi="宋体" w:cs="宋体"/>
      <w:sz w:val="22"/>
      <w:szCs w:val="22"/>
      <w:lang w:eastAsia="en-US"/>
    </w:rPr>
  </w:style>
  <w:style w:type="paragraph" w:styleId="1317">
    <w:name w:val="成文日期"/>
    <w:basedOn w:val="1070"/>
    <w:next w:val="1317"/>
    <w:link w:val="1318"/>
    <w:qFormat/>
    <w:pPr>
      <w:ind w:right="400" w:firstLine="200"/>
      <w:jc w:val="right"/>
      <w:spacing w:line="570" w:lineRule="exact"/>
    </w:pPr>
    <w:rPr>
      <w:rFonts w:ascii="仿宋_GB2312" w:eastAsia="仿宋_GB2312"/>
      <w:sz w:val="32"/>
      <w:szCs w:val="20"/>
    </w:rPr>
  </w:style>
  <w:style w:type="character" w:styleId="1318">
    <w:name w:val="成文日期 Char"/>
    <w:next w:val="1318"/>
    <w:link w:val="1317"/>
    <w:rPr>
      <w:rFonts w:ascii="仿宋_GB2312" w:eastAsia="仿宋_GB2312"/>
      <w:sz w:val="32"/>
    </w:rPr>
  </w:style>
  <w:style w:type="paragraph" w:styleId="1319">
    <w:name w:val="修订"/>
    <w:next w:val="1319"/>
    <w:link w:val="1070"/>
    <w:uiPriority w:val="99"/>
    <w:unhideWhenUsed/>
    <w:rPr>
      <w:sz w:val="21"/>
      <w:szCs w:val="24"/>
      <w:lang w:val="en-US" w:eastAsia="zh-CN" w:bidi="ar-SA"/>
    </w:rPr>
  </w:style>
  <w:style w:type="character" w:styleId="1320">
    <w:name w:val="正文缩进 字符"/>
    <w:next w:val="1320"/>
    <w:link w:val="1070"/>
    <w:uiPriority w:val="99"/>
    <w:qFormat/>
    <w:rPr>
      <w:rFonts w:ascii="宋体" w:hAnsi="Times New Roman" w:eastAsia="宋体" w:cs="Times New Roman"/>
      <w:sz w:val="24"/>
    </w:rPr>
  </w:style>
  <w:style w:type="character" w:styleId="1321">
    <w:name w:val="正文文本 字符"/>
    <w:next w:val="1321"/>
    <w:link w:val="1070"/>
    <w:qFormat/>
    <w:rPr>
      <w:rFonts w:ascii="宋体" w:hAnsi="宋体"/>
      <w:sz w:val="24"/>
      <w:szCs w:val="24"/>
    </w:rPr>
  </w:style>
  <w:style w:type="paragraph" w:styleId="1322">
    <w:name w:val="纯文本1"/>
    <w:next w:val="1123"/>
    <w:link w:val="1070"/>
    <w:qFormat/>
    <w:pPr>
      <w:jc w:val="both"/>
      <w:widowControl w:val="off"/>
    </w:pPr>
    <w:rPr>
      <w:rFonts w:ascii="宋体" w:hAnsi="宋体"/>
      <w:sz w:val="26"/>
      <w:szCs w:val="24"/>
      <w:lang w:val="en-US" w:eastAsia="zh-CN" w:bidi="ar-SA"/>
    </w:rPr>
  </w:style>
  <w:style w:type="paragraph" w:styleId="1323">
    <w:name w:val="AONormal"/>
    <w:next w:val="1323"/>
    <w:link w:val="1070"/>
    <w:qFormat/>
    <w:pPr>
      <w:ind w:firstLine="440"/>
      <w:spacing w:line="400" w:lineRule="exact"/>
    </w:pPr>
    <w:rPr>
      <w:rFonts w:ascii="华文楷体" w:hAnsi="华文楷体" w:eastAsia="华文楷体" w:cs="华文楷体"/>
      <w:sz w:val="22"/>
      <w:szCs w:val="21"/>
      <w:lang w:val="en-US" w:eastAsia="zh-CN" w:bidi="ar-SA"/>
    </w:rPr>
  </w:style>
  <w:style w:type="paragraph" w:styleId="1324">
    <w:name w:val="样式  + 首行缩进:  2 字符"/>
    <w:basedOn w:val="1070"/>
    <w:next w:val="1324"/>
    <w:link w:val="1070"/>
    <w:qFormat/>
    <w:pPr>
      <w:ind w:firstLine="524"/>
      <w:spacing w:line="360" w:lineRule="auto"/>
    </w:pPr>
    <w:rPr>
      <w:rFonts w:ascii="宋体" w:hAnsi="宋体"/>
      <w:spacing w:val="11"/>
      <w:sz w:val="24"/>
    </w:rPr>
  </w:style>
  <w:style w:type="paragraph" w:styleId="1325">
    <w:name w:val="普通(网站)1"/>
    <w:basedOn w:val="1070"/>
    <w:next w:val="1325"/>
    <w:link w:val="1070"/>
    <w:uiPriority w:val="99"/>
    <w:unhideWhenUsed/>
    <w:qFormat/>
    <w:pPr>
      <w:jc w:val="left"/>
      <w:spacing w:before="100" w:beforeAutospacing="1" w:after="100" w:afterAutospacing="1"/>
      <w:widowControl/>
    </w:pPr>
    <w:rPr>
      <w:rFonts w:ascii="宋体" w:hAnsi="宋体" w:cs="宋体"/>
      <w:sz w:val="24"/>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9</cp:revision>
  <dcterms:created xsi:type="dcterms:W3CDTF">2022-05-30T08:08:00Z</dcterms:created>
  <dcterms:modified xsi:type="dcterms:W3CDTF">2025-12-24T01:04:38Z</dcterms:modified>
</cp:coreProperties>
</file>